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7B7453" w:rsidRPr="00672BFD" w14:paraId="2127C7F6" w14:textId="77777777" w:rsidTr="007B7453">
        <w:tc>
          <w:tcPr>
            <w:tcW w:w="509" w:type="dxa"/>
          </w:tcPr>
          <w:p w14:paraId="6E8CA59D" w14:textId="77777777"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bookmarkStart w:id="0" w:name="_Hlk217911512"/>
            <w:bookmarkEnd w:id="0"/>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14:paraId="24BA7BB0" w14:textId="77777777" w:rsidR="00672BFD" w:rsidRPr="00672BFD" w:rsidRDefault="004A17E6" w:rsidP="00C94DF2">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1"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2771AC">
              <w:rPr>
                <w:rFonts w:ascii="黑体" w:eastAsia="黑体" w:hAnsi="黑体"/>
                <w:sz w:val="21"/>
                <w:szCs w:val="21"/>
              </w:rPr>
              <w:t xml:space="preserve"> </w:t>
            </w:r>
            <w:r>
              <w:rPr>
                <w:rFonts w:ascii="黑体" w:eastAsia="黑体" w:hAnsi="黑体"/>
                <w:sz w:val="21"/>
                <w:szCs w:val="21"/>
              </w:rPr>
              <w:fldChar w:fldCharType="end"/>
            </w:r>
            <w:bookmarkEnd w:id="1"/>
          </w:p>
        </w:tc>
      </w:tr>
      <w:tr w:rsidR="007B7453" w:rsidRPr="00672BFD" w14:paraId="354406AD" w14:textId="77777777" w:rsidTr="007B7453">
        <w:tc>
          <w:tcPr>
            <w:tcW w:w="509" w:type="dxa"/>
          </w:tcPr>
          <w:p w14:paraId="0E2EE49D"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p w14:paraId="38051003" w14:textId="77777777" w:rsidR="00FB231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7C1E8B">
              <w:rPr>
                <w:rFonts w:ascii="黑体" w:eastAsia="黑体" w:hAnsi="黑体"/>
                <w:sz w:val="21"/>
                <w:szCs w:val="21"/>
              </w:rPr>
              <w:t>点击此处添加CCS号</w:t>
            </w:r>
            <w:r w:rsidRPr="00672BFD">
              <w:rPr>
                <w:rFonts w:ascii="黑体" w:eastAsia="黑体" w:hAnsi="黑体"/>
                <w:sz w:val="21"/>
                <w:szCs w:val="21"/>
              </w:rPr>
              <w:fldChar w:fldCharType="end"/>
            </w:r>
            <w:bookmarkEnd w:id="2"/>
          </w:p>
        </w:tc>
      </w:tr>
    </w:tbl>
    <w:tbl>
      <w:tblPr>
        <w:tblStyle w:val="afffffffffc"/>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1446C2" w14:paraId="3D8C2037" w14:textId="77777777" w:rsidTr="00DF5F11">
        <w:tc>
          <w:tcPr>
            <w:tcW w:w="6407" w:type="dxa"/>
          </w:tcPr>
          <w:p w14:paraId="0DC0EE8C" w14:textId="77777777" w:rsidR="001446C2" w:rsidRDefault="001446C2" w:rsidP="00DF5F11">
            <w:pPr>
              <w:pStyle w:val="affff5"/>
              <w:framePr w:w="0" w:hRule="auto" w:wrap="auto" w:hAnchor="text" w:xAlign="left" w:yAlign="inline" w:anchorLock="0"/>
              <w:rPr>
                <w:rFonts w:ascii="宋体" w:hAnsi="宋体"/>
                <w:sz w:val="28"/>
                <w:szCs w:val="28"/>
              </w:rPr>
            </w:pPr>
            <w:bookmarkStart w:id="3" w:name="_Hlk26473981"/>
            <w:r>
              <w:rPr>
                <w:noProof/>
              </w:rPr>
              <w:drawing>
                <wp:inline distT="0" distB="0" distL="0" distR="0" wp14:anchorId="4DD16B4B" wp14:editId="760DFB7A">
                  <wp:extent cx="796719" cy="397766"/>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未标题-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sidRPr="001446C2">
              <w:rPr>
                <w:sz w:val="21"/>
                <w:szCs w:val="21"/>
              </w:rPr>
              <w:t xml:space="preserve"> </w:t>
            </w:r>
            <w:r>
              <w:fldChar w:fldCharType="begin">
                <w:ffData>
                  <w:name w:val="c1"/>
                  <w:enabled/>
                  <w:calcOnExit w:val="0"/>
                  <w:textInput>
                    <w:maxLength w:val="8"/>
                  </w:textInput>
                </w:ffData>
              </w:fldChar>
            </w:r>
            <w:bookmarkStart w:id="4" w:name="c1"/>
            <w:r>
              <w:instrText xml:space="preserve"> FORMTEXT </w:instrText>
            </w:r>
            <w:r>
              <w:fldChar w:fldCharType="separate"/>
            </w:r>
            <w:r w:rsidR="00AB41D5">
              <w:t> </w:t>
            </w:r>
            <w:r w:rsidR="00AB41D5">
              <w:t> </w:t>
            </w:r>
            <w:r w:rsidR="00AB41D5">
              <w:t> </w:t>
            </w:r>
            <w:r w:rsidR="00AB41D5">
              <w:t> </w:t>
            </w:r>
            <w:r w:rsidR="00AB41D5">
              <w:t> </w:t>
            </w:r>
            <w:r>
              <w:fldChar w:fldCharType="end"/>
            </w:r>
            <w:bookmarkEnd w:id="4"/>
          </w:p>
        </w:tc>
      </w:tr>
    </w:tbl>
    <w:p w14:paraId="43BCB007" w14:textId="7C3A9334" w:rsidR="0000040A" w:rsidRPr="007B7453" w:rsidRDefault="007B7453" w:rsidP="000107E0">
      <w:pPr>
        <w:pStyle w:val="affff6"/>
        <w:framePr w:w="9639" w:h="624" w:hRule="exact" w:hSpace="181" w:vSpace="181" w:wrap="around" w:hAnchor="page" w:x="1305" w:y="2269"/>
        <w:rPr>
          <w:rFonts w:ascii="黑体" w:eastAsia="黑体" w:hAnsi="黑体"/>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5" w:name="c2"/>
      <w:r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CA5F4B">
        <w:rPr>
          <w:rFonts w:ascii="黑体" w:eastAsia="黑体" w:hint="eastAsia"/>
          <w:b w:val="0"/>
          <w:w w:val="100"/>
          <w:sz w:val="48"/>
        </w:rPr>
        <w:t>广东省</w:t>
      </w:r>
      <w:r w:rsidRPr="001A4CF3">
        <w:rPr>
          <w:rFonts w:ascii="黑体" w:eastAsia="黑体"/>
          <w:b w:val="0"/>
          <w:w w:val="100"/>
          <w:sz w:val="48"/>
        </w:rPr>
        <w:fldChar w:fldCharType="end"/>
      </w:r>
      <w:bookmarkEnd w:id="5"/>
      <w:r w:rsidR="00B77EC8">
        <w:rPr>
          <w:rFonts w:ascii="黑体" w:eastAsia="黑体" w:hAnsi="黑体" w:hint="eastAsia"/>
          <w:b w:val="0"/>
          <w:bCs w:val="0"/>
          <w:w w:val="100"/>
          <w:sz w:val="48"/>
          <w:szCs w:val="48"/>
        </w:rPr>
        <w:t>地方</w:t>
      </w:r>
      <w:r>
        <w:rPr>
          <w:rFonts w:ascii="黑体" w:eastAsia="黑体" w:hAnsi="黑体" w:hint="eastAsia"/>
          <w:b w:val="0"/>
          <w:bCs w:val="0"/>
          <w:w w:val="100"/>
          <w:sz w:val="48"/>
          <w:szCs w:val="48"/>
        </w:rPr>
        <w:t>标准</w:t>
      </w:r>
    </w:p>
    <w:bookmarkEnd w:id="3"/>
    <w:p w14:paraId="38B9D269" w14:textId="77777777" w:rsidR="00AA456B" w:rsidRPr="005F4712" w:rsidRDefault="00634D9E" w:rsidP="00A952D7">
      <w:pPr>
        <w:pStyle w:val="affffffffff3"/>
        <w:framePr w:wrap="auto"/>
        <w:rPr>
          <w:lang w:val="fr-FR"/>
        </w:rPr>
      </w:pPr>
      <w:r w:rsidRPr="005F4712">
        <w:rPr>
          <w:lang w:val="fr-FR"/>
        </w:rPr>
        <w:t>DB</w:t>
      </w:r>
      <w:r w:rsidRPr="005F4712">
        <w:rPr>
          <w:sz w:val="15"/>
          <w:szCs w:val="15"/>
          <w:lang w:val="fr-FR"/>
        </w:rPr>
        <w:t xml:space="preserve"> </w:t>
      </w:r>
      <w:r w:rsidR="005F4712">
        <w:fldChar w:fldCharType="begin">
          <w:ffData>
            <w:name w:val="文字1"/>
            <w:enabled/>
            <w:calcOnExit w:val="0"/>
            <w:textInput>
              <w:default w:val="XX/T"/>
            </w:textInput>
          </w:ffData>
        </w:fldChar>
      </w:r>
      <w:bookmarkStart w:id="6" w:name="文字1"/>
      <w:r w:rsidR="005F4712" w:rsidRPr="005F4712">
        <w:rPr>
          <w:lang w:val="fr-FR"/>
        </w:rPr>
        <w:instrText xml:space="preserve"> FORMTEXT </w:instrText>
      </w:r>
      <w:r w:rsidR="005F4712">
        <w:fldChar w:fldCharType="separate"/>
      </w:r>
      <w:r w:rsidR="005F4712" w:rsidRPr="005F4712">
        <w:rPr>
          <w:lang w:val="fr-FR"/>
        </w:rPr>
        <w:t>XX/T</w:t>
      </w:r>
      <w:r w:rsidR="005F4712">
        <w:fldChar w:fldCharType="end"/>
      </w:r>
      <w:bookmarkEnd w:id="6"/>
      <w:r w:rsidRPr="005F4712">
        <w:rPr>
          <w:lang w:val="fr-FR"/>
        </w:rPr>
        <w:t xml:space="preserve"> </w:t>
      </w:r>
      <w:r w:rsidR="006E23EA">
        <w:fldChar w:fldCharType="begin">
          <w:ffData>
            <w:name w:val="NSTD_CODE_F"/>
            <w:enabled/>
            <w:calcOnExit w:val="0"/>
            <w:textInput>
              <w:default w:val="XXXX"/>
            </w:textInput>
          </w:ffData>
        </w:fldChar>
      </w:r>
      <w:bookmarkStart w:id="7" w:name="NSTD_CODE_F"/>
      <w:r w:rsidR="006E23EA" w:rsidRPr="0012059C">
        <w:rPr>
          <w:lang w:val="fr-FR"/>
        </w:rPr>
        <w:instrText xml:space="preserve"> FORMTEXT </w:instrText>
      </w:r>
      <w:r w:rsidR="006E23EA">
        <w:fldChar w:fldCharType="separate"/>
      </w:r>
      <w:r w:rsidR="006E23EA" w:rsidRPr="0012059C">
        <w:rPr>
          <w:lang w:val="fr-FR"/>
        </w:rPr>
        <w:t>XXXX</w:t>
      </w:r>
      <w:r w:rsidR="006E23EA">
        <w:fldChar w:fldCharType="end"/>
      </w:r>
      <w:bookmarkEnd w:id="7"/>
      <w:r w:rsidR="004644A6" w:rsidRPr="005F4712">
        <w:rPr>
          <w:rFonts w:hAnsi="黑体"/>
          <w:lang w:val="fr-FR"/>
        </w:rPr>
        <w:t>—</w:t>
      </w:r>
      <w:r w:rsidR="00087A77">
        <w:fldChar w:fldCharType="begin">
          <w:ffData>
            <w:name w:val="NSTD_CODE_B"/>
            <w:enabled/>
            <w:calcOnExit w:val="0"/>
            <w:textInput>
              <w:default w:val="XXXX"/>
            </w:textInput>
          </w:ffData>
        </w:fldChar>
      </w:r>
      <w:bookmarkStart w:id="8" w:name="NSTD_CODE_B"/>
      <w:r w:rsidR="00087A77" w:rsidRPr="005F4712">
        <w:rPr>
          <w:lang w:val="fr-FR"/>
        </w:rPr>
        <w:instrText xml:space="preserve"> FORMTEXT </w:instrText>
      </w:r>
      <w:r w:rsidR="00087A77">
        <w:fldChar w:fldCharType="separate"/>
      </w:r>
      <w:r w:rsidR="00087A77" w:rsidRPr="005F4712">
        <w:rPr>
          <w:lang w:val="fr-FR"/>
        </w:rPr>
        <w:t>XXXX</w:t>
      </w:r>
      <w:r w:rsidR="00087A77">
        <w:fldChar w:fldCharType="end"/>
      </w:r>
      <w:bookmarkEnd w:id="8"/>
    </w:p>
    <w:p w14:paraId="4BC9E621" w14:textId="50184EA4" w:rsidR="00E846C8" w:rsidRPr="001E4882" w:rsidRDefault="00087A77" w:rsidP="00A952D7">
      <w:pPr>
        <w:pStyle w:val="affffffffff4"/>
        <w:framePr w:wrap="auto"/>
        <w:rPr>
          <w:rFonts w:hAnsi="黑体"/>
        </w:rPr>
      </w:pPr>
      <w:r w:rsidRPr="001E4882">
        <w:rPr>
          <w:rFonts w:hAnsi="黑体"/>
        </w:rPr>
        <w:fldChar w:fldCharType="begin">
          <w:ffData>
            <w:name w:val="OSTD_CODE"/>
            <w:enabled/>
            <w:calcOnExit w:val="0"/>
            <w:textInput/>
          </w:ffData>
        </w:fldChar>
      </w:r>
      <w:bookmarkStart w:id="9" w:name="OSTD_CODE"/>
      <w:r w:rsidRPr="001E4882">
        <w:rPr>
          <w:rFonts w:hAnsi="黑体"/>
        </w:rPr>
        <w:instrText xml:space="preserve"> FORMTEXT </w:instrText>
      </w:r>
      <w:r w:rsidRPr="001E4882">
        <w:rPr>
          <w:rFonts w:hAnsi="黑体"/>
        </w:rPr>
      </w:r>
      <w:r w:rsidRPr="001E4882">
        <w:rPr>
          <w:rFonts w:hAnsi="黑体"/>
        </w:rPr>
        <w:fldChar w:fldCharType="separate"/>
      </w:r>
      <w:r w:rsidR="00CA5F4B">
        <w:rPr>
          <w:rFonts w:hAnsi="黑体"/>
        </w:rPr>
        <w:t> </w:t>
      </w:r>
      <w:r w:rsidR="00CA5F4B">
        <w:rPr>
          <w:rFonts w:hAnsi="黑体"/>
        </w:rPr>
        <w:t> </w:t>
      </w:r>
      <w:r w:rsidR="00CA5F4B">
        <w:rPr>
          <w:rFonts w:hAnsi="黑体"/>
        </w:rPr>
        <w:t> </w:t>
      </w:r>
      <w:r w:rsidR="00CA5F4B">
        <w:rPr>
          <w:rFonts w:hAnsi="黑体"/>
        </w:rPr>
        <w:t> </w:t>
      </w:r>
      <w:r w:rsidR="00CA5F4B">
        <w:rPr>
          <w:rFonts w:hAnsi="黑体"/>
        </w:rPr>
        <w:t> </w:t>
      </w:r>
      <w:r w:rsidRPr="001E4882">
        <w:rPr>
          <w:rFonts w:hAnsi="黑体"/>
        </w:rPr>
        <w:fldChar w:fldCharType="end"/>
      </w:r>
      <w:bookmarkEnd w:id="9"/>
    </w:p>
    <w:p w14:paraId="1B8E4D9E" w14:textId="77777777" w:rsidR="008F70BD" w:rsidRPr="007B7453" w:rsidRDefault="007439EB" w:rsidP="007B7453">
      <w:pPr>
        <w:spacing w:line="240" w:lineRule="auto"/>
        <w:rPr>
          <w:rFonts w:ascii="黑体" w:eastAsia="黑体" w:hAnsi="黑体"/>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175725B" wp14:editId="61B0CA6C">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DEC91B0" id="直接连接符 7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Fv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" o:allowoverlap="f">
                <w10:wrap anchorx="page" anchory="page"/>
              </v:line>
            </w:pict>
          </mc:Fallback>
        </mc:AlternateContent>
      </w:r>
    </w:p>
    <w:p w14:paraId="3D4460C5" w14:textId="77777777"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14:paraId="03412C27" w14:textId="318E6FBC" w:rsidR="006816A4" w:rsidRDefault="0012059C"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10" w:name="CSTD_NAME"/>
      <w:r>
        <w:instrText xml:space="preserve"> FORMTEXT </w:instrText>
      </w:r>
      <w:r>
        <w:fldChar w:fldCharType="separate"/>
      </w:r>
      <w:r w:rsidR="00CA5F4B" w:rsidRPr="00CA5F4B">
        <w:rPr>
          <w:rFonts w:hint="eastAsia"/>
        </w:rPr>
        <w:t>危险化学品气雾剂生产车间爆炸性场所分类及自动化改造指南</w:t>
      </w:r>
      <w:r>
        <w:fldChar w:fldCharType="end"/>
      </w:r>
      <w:bookmarkEnd w:id="10"/>
    </w:p>
    <w:p w14:paraId="76478BB0" w14:textId="77777777" w:rsidR="00815419" w:rsidRPr="00815419" w:rsidRDefault="00815419" w:rsidP="00324EDD">
      <w:pPr>
        <w:framePr w:w="9639" w:h="6974" w:hRule="exact" w:wrap="around" w:vAnchor="page" w:hAnchor="page" w:x="1419" w:y="6408" w:anchorLock="1"/>
        <w:ind w:left="-1418"/>
      </w:pPr>
    </w:p>
    <w:p w14:paraId="31C6CFA2" w14:textId="1EE14258" w:rsidR="00755402" w:rsidRPr="00D3660F" w:rsidRDefault="00F515EE" w:rsidP="00463B77">
      <w:pPr>
        <w:pStyle w:val="afffffff5"/>
        <w:framePr w:w="9639" w:h="6974" w:hRule="exact" w:wrap="around" w:vAnchor="page" w:hAnchor="page" w:x="1419" w:y="6408" w:anchorLock="1"/>
        <w:textAlignment w:val="bottom"/>
        <w:rPr>
          <w:rFonts w:ascii="黑体" w:eastAsia="黑体" w:hAnsi="黑体"/>
          <w:noProof/>
          <w:szCs w:val="28"/>
        </w:rPr>
      </w:pPr>
      <w:r w:rsidRPr="00D3660F">
        <w:rPr>
          <w:rFonts w:ascii="黑体" w:eastAsia="黑体" w:hAnsi="黑体"/>
          <w:noProof/>
          <w:szCs w:val="28"/>
        </w:rPr>
        <w:fldChar w:fldCharType="begin">
          <w:ffData>
            <w:name w:val="ESTD_NAME"/>
            <w:enabled/>
            <w:calcOnExit w:val="0"/>
            <w:textInput>
              <w:default w:val="点击此处添加标准名称的英文译名"/>
            </w:textInput>
          </w:ffData>
        </w:fldChar>
      </w:r>
      <w:bookmarkStart w:id="11" w:name="ESTD_NAME"/>
      <w:r w:rsidRPr="00D3660F">
        <w:rPr>
          <w:rFonts w:ascii="黑体" w:eastAsia="黑体" w:hAnsi="黑体"/>
          <w:noProof/>
          <w:szCs w:val="28"/>
        </w:rPr>
        <w:instrText xml:space="preserve"> FORMTEXT </w:instrText>
      </w:r>
      <w:r w:rsidRPr="00D3660F">
        <w:rPr>
          <w:rFonts w:ascii="黑体" w:eastAsia="黑体" w:hAnsi="黑体"/>
          <w:noProof/>
          <w:szCs w:val="28"/>
        </w:rPr>
      </w:r>
      <w:r w:rsidRPr="00D3660F">
        <w:rPr>
          <w:rFonts w:ascii="黑体" w:eastAsia="黑体" w:hAnsi="黑体"/>
          <w:noProof/>
          <w:szCs w:val="28"/>
        </w:rPr>
        <w:fldChar w:fldCharType="separate"/>
      </w:r>
      <w:r w:rsidR="00CA5F4B" w:rsidRPr="00CA5F4B">
        <w:rPr>
          <w:rFonts w:ascii="黑体" w:eastAsia="黑体" w:hAnsi="黑体" w:hint="eastAsia"/>
          <w:noProof/>
          <w:szCs w:val="28"/>
        </w:rPr>
        <w:t>Guidelines for Classification and Automation Renovation of Explosive Sites in Hazardous Chemical Aerosol Production Workshops</w:t>
      </w:r>
      <w:r w:rsidRPr="00D3660F">
        <w:rPr>
          <w:rFonts w:ascii="黑体" w:eastAsia="黑体" w:hAnsi="黑体"/>
          <w:noProof/>
          <w:szCs w:val="28"/>
        </w:rPr>
        <w:fldChar w:fldCharType="end"/>
      </w:r>
      <w:bookmarkEnd w:id="11"/>
    </w:p>
    <w:p w14:paraId="33184B99" w14:textId="77777777" w:rsidR="00815419" w:rsidRPr="00324EDD" w:rsidRDefault="00815419" w:rsidP="00324EDD">
      <w:pPr>
        <w:framePr w:w="9639" w:h="6974" w:hRule="exact" w:wrap="around" w:vAnchor="page" w:hAnchor="page" w:x="1419" w:y="6408" w:anchorLock="1"/>
        <w:spacing w:line="760" w:lineRule="exact"/>
        <w:ind w:left="-1418"/>
      </w:pPr>
    </w:p>
    <w:p w14:paraId="46190CF1" w14:textId="77777777"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14:paraId="4A1243A8" w14:textId="7E662EF2"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2" w:name="下拉1"/>
      <w:r>
        <w:rPr>
          <w:noProof/>
          <w:sz w:val="24"/>
          <w:szCs w:val="28"/>
        </w:rPr>
        <w:instrText xml:space="preserve"> FORMDROPDOWN </w:instrText>
      </w:r>
      <w:r w:rsidR="00991E63">
        <w:rPr>
          <w:noProof/>
          <w:sz w:val="24"/>
          <w:szCs w:val="28"/>
        </w:rPr>
      </w:r>
      <w:r w:rsidR="00991E63">
        <w:rPr>
          <w:noProof/>
          <w:sz w:val="24"/>
          <w:szCs w:val="28"/>
        </w:rPr>
        <w:fldChar w:fldCharType="separate"/>
      </w:r>
      <w:r>
        <w:rPr>
          <w:noProof/>
          <w:sz w:val="24"/>
          <w:szCs w:val="28"/>
        </w:rPr>
        <w:fldChar w:fldCharType="end"/>
      </w:r>
      <w:bookmarkEnd w:id="12"/>
    </w:p>
    <w:p w14:paraId="39BA5029" w14:textId="77777777"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3"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13"/>
    </w:p>
    <w:p w14:paraId="3BA1FD5A" w14:textId="77777777"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4" w:name="下拉2"/>
      <w:r w:rsidRPr="00A6537A">
        <w:rPr>
          <w:b/>
          <w:noProof/>
          <w:sz w:val="21"/>
          <w:szCs w:val="28"/>
        </w:rPr>
        <w:instrText xml:space="preserve"> FORMDROPDOWN </w:instrText>
      </w:r>
      <w:r w:rsidR="00991E63">
        <w:rPr>
          <w:b/>
          <w:noProof/>
          <w:sz w:val="21"/>
          <w:szCs w:val="28"/>
        </w:rPr>
      </w:r>
      <w:r w:rsidR="00991E63">
        <w:rPr>
          <w:b/>
          <w:noProof/>
          <w:sz w:val="21"/>
          <w:szCs w:val="28"/>
        </w:rPr>
        <w:fldChar w:fldCharType="separate"/>
      </w:r>
      <w:r w:rsidRPr="00A6537A">
        <w:rPr>
          <w:b/>
          <w:noProof/>
          <w:sz w:val="21"/>
          <w:szCs w:val="28"/>
        </w:rPr>
        <w:fldChar w:fldCharType="end"/>
      </w:r>
      <w:bookmarkEnd w:id="14"/>
    </w:p>
    <w:p w14:paraId="508131F9" w14:textId="77777777"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5"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6"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7"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7"/>
      <w:r w:rsidR="00CD50A1">
        <w:rPr>
          <w:rFonts w:hint="eastAsia"/>
        </w:rPr>
        <w:t>发布</w:t>
      </w:r>
    </w:p>
    <w:p w14:paraId="0766F3DA" w14:textId="77777777"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8"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8"/>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9"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9"/>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20"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20"/>
      <w:r w:rsidR="00CD50A1">
        <w:rPr>
          <w:rFonts w:hint="eastAsia"/>
        </w:rPr>
        <w:t>实施</w:t>
      </w:r>
    </w:p>
    <w:p w14:paraId="13A5B63C" w14:textId="679F568E" w:rsidR="007B7453" w:rsidRPr="004C7E8B" w:rsidRDefault="007B7453" w:rsidP="00A4006C">
      <w:pPr>
        <w:pStyle w:val="affffffff5"/>
        <w:framePr w:h="584" w:hRule="exact" w:hSpace="181" w:vSpace="181" w:wrap="around" w:y="15027"/>
        <w:rPr>
          <w:rFonts w:hAnsi="黑体"/>
        </w:rPr>
      </w:pPr>
      <w:r w:rsidRPr="004C7E8B">
        <w:rPr>
          <w:rFonts w:hAnsi="黑体"/>
          <w:w w:val="100"/>
          <w:sz w:val="28"/>
        </w:rPr>
        <w:fldChar w:fldCharType="begin">
          <w:ffData>
            <w:name w:val="fm"/>
            <w:enabled/>
            <w:calcOnExit w:val="0"/>
            <w:textInput/>
          </w:ffData>
        </w:fldChar>
      </w:r>
      <w:bookmarkStart w:id="21" w:name="fm"/>
      <w:r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CA5F4B">
        <w:rPr>
          <w:rFonts w:hAnsi="黑体" w:hint="eastAsia"/>
          <w:w w:val="100"/>
          <w:sz w:val="28"/>
        </w:rPr>
        <w:t>广东省市场监督管理局</w:t>
      </w:r>
      <w:r w:rsidRPr="004C7E8B">
        <w:rPr>
          <w:rFonts w:hAnsi="黑体"/>
          <w:w w:val="100"/>
          <w:sz w:val="28"/>
        </w:rPr>
        <w:fldChar w:fldCharType="end"/>
      </w:r>
      <w:bookmarkEnd w:id="21"/>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14:paraId="574CCC93" w14:textId="77777777" w:rsidR="00A02BAE" w:rsidRPr="00CD50A1" w:rsidRDefault="006A37B9" w:rsidP="00A02BAE">
      <w:pPr>
        <w:rPr>
          <w:rFonts w:ascii="宋体" w:hAnsi="宋体"/>
          <w:sz w:val="28"/>
          <w:szCs w:val="28"/>
        </w:rPr>
        <w:sectPr w:rsidR="00A02BAE" w:rsidRPr="00CD50A1" w:rsidSect="00C64E95">
          <w:headerReference w:type="default" r:id="rId9"/>
          <w:footerReference w:type="even" r:id="rId10"/>
          <w:headerReference w:type="first" r:id="rId11"/>
          <w:footerReference w:type="first" r:id="rId12"/>
          <w:type w:val="continuous"/>
          <w:pgSz w:w="11906" w:h="16838" w:code="9"/>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5652885F" wp14:editId="37467702">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0556E83" id="直接连接符 5"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Fv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">
                <w10:wrap anchorx="page" anchory="page"/>
                <w10:anchorlock/>
              </v:line>
            </w:pict>
          </mc:Fallback>
        </mc:AlternateContent>
      </w:r>
    </w:p>
    <w:p w14:paraId="716EB0B3" w14:textId="77777777" w:rsidR="002766D7" w:rsidRDefault="002766D7" w:rsidP="002766D7">
      <w:pPr>
        <w:pStyle w:val="affffff2"/>
        <w:spacing w:after="468"/>
      </w:pPr>
      <w:bookmarkStart w:id="22" w:name="BookMark1"/>
      <w:r w:rsidRPr="002766D7">
        <w:rPr>
          <w:rFonts w:hint="eastAsia"/>
          <w:spacing w:val="320"/>
        </w:rPr>
        <w:lastRenderedPageBreak/>
        <w:t>目</w:t>
      </w:r>
      <w:r>
        <w:rPr>
          <w:rFonts w:hint="eastAsia"/>
        </w:rPr>
        <w:t>次</w:t>
      </w:r>
    </w:p>
    <w:p w14:paraId="7E459A0F" w14:textId="6833452C" w:rsidR="002766D7" w:rsidRPr="002766D7" w:rsidRDefault="002766D7">
      <w:pPr>
        <w:pStyle w:val="11"/>
        <w:tabs>
          <w:tab w:val="right" w:leader="dot" w:pos="9344"/>
        </w:tabs>
        <w:rPr>
          <w:rFonts w:asciiTheme="minorHAnsi" w:eastAsiaTheme="minorEastAsia" w:hAnsiTheme="minorHAnsi" w:cstheme="minorBidi"/>
          <w:noProof/>
          <w:sz w:val="22"/>
          <w:szCs w:val="24"/>
          <w14:ligatures w14:val="standardContextual"/>
        </w:rPr>
      </w:pPr>
      <w:r w:rsidRPr="002766D7">
        <w:fldChar w:fldCharType="begin"/>
      </w:r>
      <w:r w:rsidRPr="002766D7">
        <w:instrText xml:space="preserve"> TOC \o "1-1" \h \t "标准文件_一级条标题,2,标准文件_附录一级条标题,2," </w:instrText>
      </w:r>
      <w:r w:rsidRPr="002766D7">
        <w:fldChar w:fldCharType="separate"/>
      </w:r>
      <w:hyperlink w:anchor="_Toc217917248" w:history="1">
        <w:r w:rsidRPr="002766D7">
          <w:rPr>
            <w:rStyle w:val="affffffe"/>
            <w:rFonts w:hint="eastAsia"/>
            <w:noProof/>
          </w:rPr>
          <w:t>前言</w:t>
        </w:r>
        <w:r w:rsidRPr="002766D7">
          <w:rPr>
            <w:rFonts w:hint="eastAsia"/>
            <w:noProof/>
          </w:rPr>
          <w:tab/>
        </w:r>
        <w:r w:rsidRPr="002766D7">
          <w:rPr>
            <w:rFonts w:hint="eastAsia"/>
            <w:noProof/>
          </w:rPr>
          <w:fldChar w:fldCharType="begin"/>
        </w:r>
        <w:r w:rsidRPr="002766D7">
          <w:rPr>
            <w:rFonts w:hint="eastAsia"/>
            <w:noProof/>
          </w:rPr>
          <w:instrText xml:space="preserve"> </w:instrText>
        </w:r>
        <w:r w:rsidRPr="002766D7">
          <w:rPr>
            <w:noProof/>
          </w:rPr>
          <w:instrText>PAGEREF _Toc217917248 \h</w:instrText>
        </w:r>
        <w:r w:rsidRPr="002766D7">
          <w:rPr>
            <w:rFonts w:hint="eastAsia"/>
            <w:noProof/>
          </w:rPr>
          <w:instrText xml:space="preserve"> </w:instrText>
        </w:r>
        <w:r w:rsidRPr="002766D7">
          <w:rPr>
            <w:rFonts w:hint="eastAsia"/>
            <w:noProof/>
          </w:rPr>
        </w:r>
        <w:r w:rsidRPr="002766D7">
          <w:rPr>
            <w:rFonts w:hint="eastAsia"/>
            <w:noProof/>
          </w:rPr>
          <w:fldChar w:fldCharType="separate"/>
        </w:r>
        <w:r w:rsidRPr="002766D7">
          <w:rPr>
            <w:noProof/>
          </w:rPr>
          <w:t>II</w:t>
        </w:r>
        <w:r w:rsidRPr="002766D7">
          <w:rPr>
            <w:rFonts w:hint="eastAsia"/>
            <w:noProof/>
          </w:rPr>
          <w:fldChar w:fldCharType="end"/>
        </w:r>
      </w:hyperlink>
    </w:p>
    <w:p w14:paraId="4F341F38" w14:textId="64EDD23C"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49" w:history="1">
        <w:r w:rsidR="002766D7" w:rsidRPr="002766D7">
          <w:rPr>
            <w:rStyle w:val="affffffe"/>
            <w:rFonts w:hint="eastAsia"/>
            <w:noProof/>
          </w:rPr>
          <w:t>1</w:t>
        </w:r>
        <w:r w:rsidR="002766D7">
          <w:rPr>
            <w:rStyle w:val="affffffe"/>
            <w:noProof/>
          </w:rPr>
          <w:t xml:space="preserve"> </w:t>
        </w:r>
        <w:r w:rsidR="002766D7" w:rsidRPr="002766D7">
          <w:rPr>
            <w:rStyle w:val="affffffe"/>
            <w:rFonts w:hint="eastAsia"/>
            <w:noProof/>
          </w:rPr>
          <w:t xml:space="preserve"> 范围</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_Toc217917249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1</w:t>
        </w:r>
        <w:r w:rsidR="002766D7" w:rsidRPr="002766D7">
          <w:rPr>
            <w:rFonts w:hint="eastAsia"/>
            <w:noProof/>
          </w:rPr>
          <w:fldChar w:fldCharType="end"/>
        </w:r>
      </w:hyperlink>
    </w:p>
    <w:p w14:paraId="1D9E853B" w14:textId="72610485"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50" w:history="1">
        <w:r w:rsidR="002766D7" w:rsidRPr="002766D7">
          <w:rPr>
            <w:rStyle w:val="affffffe"/>
            <w:rFonts w:hint="eastAsia"/>
            <w:noProof/>
          </w:rPr>
          <w:t>2</w:t>
        </w:r>
        <w:r w:rsidR="002766D7">
          <w:rPr>
            <w:rStyle w:val="affffffe"/>
            <w:noProof/>
          </w:rPr>
          <w:t xml:space="preserve"> </w:t>
        </w:r>
        <w:r w:rsidR="002766D7" w:rsidRPr="002766D7">
          <w:rPr>
            <w:rStyle w:val="affffffe"/>
            <w:rFonts w:hint="eastAsia"/>
            <w:noProof/>
          </w:rPr>
          <w:t xml:space="preserve"> 规范性引用文件</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_Toc217917250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1</w:t>
        </w:r>
        <w:r w:rsidR="002766D7" w:rsidRPr="002766D7">
          <w:rPr>
            <w:rFonts w:hint="eastAsia"/>
            <w:noProof/>
          </w:rPr>
          <w:fldChar w:fldCharType="end"/>
        </w:r>
      </w:hyperlink>
    </w:p>
    <w:p w14:paraId="6569F2C3" w14:textId="71479F73"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51" w:history="1">
        <w:r w:rsidR="002766D7" w:rsidRPr="002766D7">
          <w:rPr>
            <w:rStyle w:val="affffffe"/>
            <w:rFonts w:hint="eastAsia"/>
            <w:noProof/>
          </w:rPr>
          <w:t>3</w:t>
        </w:r>
        <w:r w:rsidR="002766D7">
          <w:rPr>
            <w:rStyle w:val="affffffe"/>
            <w:noProof/>
          </w:rPr>
          <w:t xml:space="preserve"> </w:t>
        </w:r>
        <w:r w:rsidR="002766D7" w:rsidRPr="002766D7">
          <w:rPr>
            <w:rStyle w:val="affffffe"/>
            <w:rFonts w:hint="eastAsia"/>
            <w:noProof/>
          </w:rPr>
          <w:t xml:space="preserve"> 术语和定义</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_Toc217917251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1</w:t>
        </w:r>
        <w:r w:rsidR="002766D7" w:rsidRPr="002766D7">
          <w:rPr>
            <w:rFonts w:hint="eastAsia"/>
            <w:noProof/>
          </w:rPr>
          <w:fldChar w:fldCharType="end"/>
        </w:r>
      </w:hyperlink>
    </w:p>
    <w:p w14:paraId="2C9303E0" w14:textId="45EAA1AF"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52" w:history="1">
        <w:r w:rsidR="002766D7" w:rsidRPr="002766D7">
          <w:rPr>
            <w:rStyle w:val="affffffe"/>
            <w:rFonts w:hint="eastAsia"/>
            <w:noProof/>
          </w:rPr>
          <w:t>4</w:t>
        </w:r>
        <w:r w:rsidR="002766D7">
          <w:rPr>
            <w:rStyle w:val="affffffe"/>
            <w:noProof/>
          </w:rPr>
          <w:t xml:space="preserve"> </w:t>
        </w:r>
        <w:r w:rsidR="002766D7" w:rsidRPr="002766D7">
          <w:rPr>
            <w:rStyle w:val="affffffe"/>
            <w:rFonts w:hint="eastAsia"/>
            <w:noProof/>
          </w:rPr>
          <w:t xml:space="preserve"> 总体原则</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_Toc217917252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2</w:t>
        </w:r>
        <w:r w:rsidR="002766D7" w:rsidRPr="002766D7">
          <w:rPr>
            <w:rFonts w:hint="eastAsia"/>
            <w:noProof/>
          </w:rPr>
          <w:fldChar w:fldCharType="end"/>
        </w:r>
      </w:hyperlink>
    </w:p>
    <w:p w14:paraId="1F086478" w14:textId="198ECA0A"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53" w:history="1">
        <w:r w:rsidR="002766D7" w:rsidRPr="002766D7">
          <w:rPr>
            <w:rStyle w:val="affffffe"/>
            <w:rFonts w:hint="eastAsia"/>
            <w:noProof/>
          </w:rPr>
          <w:t>5</w:t>
        </w:r>
        <w:r w:rsidR="002766D7">
          <w:rPr>
            <w:rStyle w:val="affffffe"/>
            <w:noProof/>
          </w:rPr>
          <w:t xml:space="preserve"> </w:t>
        </w:r>
        <w:r w:rsidR="002766D7" w:rsidRPr="002766D7">
          <w:rPr>
            <w:rStyle w:val="affffffe"/>
            <w:rFonts w:hint="eastAsia"/>
            <w:noProof/>
          </w:rPr>
          <w:t xml:space="preserve"> 爆炸危险区域划分</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_Toc217917253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2</w:t>
        </w:r>
        <w:r w:rsidR="002766D7" w:rsidRPr="002766D7">
          <w:rPr>
            <w:rFonts w:hint="eastAsia"/>
            <w:noProof/>
          </w:rPr>
          <w:fldChar w:fldCharType="end"/>
        </w:r>
      </w:hyperlink>
    </w:p>
    <w:p w14:paraId="20031CFF" w14:textId="0BE00A80"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54" w:history="1">
        <w:r w:rsidR="002766D7" w:rsidRPr="002766D7">
          <w:rPr>
            <w:rStyle w:val="affffffe"/>
            <w:rFonts w:hint="eastAsia"/>
            <w:noProof/>
          </w:rPr>
          <w:t>6</w:t>
        </w:r>
        <w:r w:rsidR="002766D7">
          <w:rPr>
            <w:rStyle w:val="affffffe"/>
            <w:noProof/>
          </w:rPr>
          <w:t xml:space="preserve"> </w:t>
        </w:r>
        <w:r w:rsidR="002766D7" w:rsidRPr="002766D7">
          <w:rPr>
            <w:rStyle w:val="affffffe"/>
            <w:rFonts w:hint="eastAsia"/>
            <w:noProof/>
          </w:rPr>
          <w:t xml:space="preserve"> 自动化改造要点</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_Toc217917254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3</w:t>
        </w:r>
        <w:r w:rsidR="002766D7" w:rsidRPr="002766D7">
          <w:rPr>
            <w:rFonts w:hint="eastAsia"/>
            <w:noProof/>
          </w:rPr>
          <w:fldChar w:fldCharType="end"/>
        </w:r>
      </w:hyperlink>
    </w:p>
    <w:p w14:paraId="327C2E77" w14:textId="76246EF4" w:rsidR="002766D7" w:rsidRPr="002766D7" w:rsidRDefault="00991E63">
      <w:pPr>
        <w:pStyle w:val="24"/>
        <w:rPr>
          <w:rFonts w:asciiTheme="minorHAnsi" w:eastAsiaTheme="minorEastAsia" w:hAnsiTheme="minorHAnsi" w:cstheme="minorBidi"/>
          <w:noProof/>
          <w:sz w:val="22"/>
          <w:szCs w:val="24"/>
          <w14:ligatures w14:val="standardContextual"/>
        </w:rPr>
      </w:pPr>
      <w:hyperlink w:anchor="_Toc217917255" w:history="1">
        <w:r w:rsidR="002766D7" w:rsidRPr="002766D7">
          <w:rPr>
            <w:rStyle w:val="affffffe"/>
            <w:rFonts w:hint="eastAsia"/>
            <w:noProof/>
            <w14:scene3d>
              <w14:camera w14:prst="orthographicFront"/>
              <w14:lightRig w14:rig="threePt" w14:dir="t">
                <w14:rot w14:lat="0" w14:lon="0" w14:rev="0"/>
              </w14:lightRig>
            </w14:scene3d>
          </w:rPr>
          <w:t>6.1</w:t>
        </w:r>
        <w:r w:rsidR="002766D7">
          <w:rPr>
            <w:rStyle w:val="affffffe"/>
            <w:noProof/>
            <w14:scene3d>
              <w14:camera w14:prst="orthographicFront"/>
              <w14:lightRig w14:rig="threePt" w14:dir="t">
                <w14:rot w14:lat="0" w14:lon="0" w14:rev="0"/>
              </w14:lightRig>
            </w14:scene3d>
          </w:rPr>
          <w:t xml:space="preserve"> </w:t>
        </w:r>
        <w:r w:rsidR="002766D7" w:rsidRPr="002766D7">
          <w:rPr>
            <w:rStyle w:val="affffffe"/>
            <w:rFonts w:hint="eastAsia"/>
            <w:noProof/>
          </w:rPr>
          <w:t xml:space="preserve"> 总则</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_Toc217917255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3</w:t>
        </w:r>
        <w:r w:rsidR="002766D7" w:rsidRPr="002766D7">
          <w:rPr>
            <w:rFonts w:hint="eastAsia"/>
            <w:noProof/>
          </w:rPr>
          <w:fldChar w:fldCharType="end"/>
        </w:r>
      </w:hyperlink>
    </w:p>
    <w:p w14:paraId="610F5E2D" w14:textId="6630F91F" w:rsidR="002766D7" w:rsidRPr="002766D7" w:rsidRDefault="00991E63">
      <w:pPr>
        <w:pStyle w:val="24"/>
        <w:rPr>
          <w:rFonts w:asciiTheme="minorHAnsi" w:eastAsiaTheme="minorEastAsia" w:hAnsiTheme="minorHAnsi" w:cstheme="minorBidi"/>
          <w:noProof/>
          <w:sz w:val="22"/>
          <w:szCs w:val="24"/>
          <w14:ligatures w14:val="standardContextual"/>
        </w:rPr>
      </w:pPr>
      <w:hyperlink w:anchor="_Toc217917256" w:history="1">
        <w:r w:rsidR="002766D7" w:rsidRPr="002766D7">
          <w:rPr>
            <w:rStyle w:val="affffffe"/>
            <w:rFonts w:hint="eastAsia"/>
            <w:noProof/>
            <w14:scene3d>
              <w14:camera w14:prst="orthographicFront"/>
              <w14:lightRig w14:rig="threePt" w14:dir="t">
                <w14:rot w14:lat="0" w14:lon="0" w14:rev="0"/>
              </w14:lightRig>
            </w14:scene3d>
          </w:rPr>
          <w:t>6.2</w:t>
        </w:r>
        <w:r w:rsidR="002766D7">
          <w:rPr>
            <w:rStyle w:val="affffffe"/>
            <w:noProof/>
            <w14:scene3d>
              <w14:camera w14:prst="orthographicFront"/>
              <w14:lightRig w14:rig="threePt" w14:dir="t">
                <w14:rot w14:lat="0" w14:lon="0" w14:rev="0"/>
              </w14:lightRig>
            </w14:scene3d>
          </w:rPr>
          <w:t xml:space="preserve"> </w:t>
        </w:r>
        <w:r w:rsidR="002766D7" w:rsidRPr="002766D7">
          <w:rPr>
            <w:rStyle w:val="affffffe"/>
            <w:rFonts w:hint="eastAsia"/>
            <w:noProof/>
          </w:rPr>
          <w:t xml:space="preserve"> 工艺设备控制要点</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_Toc217917256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3</w:t>
        </w:r>
        <w:r w:rsidR="002766D7" w:rsidRPr="002766D7">
          <w:rPr>
            <w:rFonts w:hint="eastAsia"/>
            <w:noProof/>
          </w:rPr>
          <w:fldChar w:fldCharType="end"/>
        </w:r>
      </w:hyperlink>
    </w:p>
    <w:p w14:paraId="259CC11C" w14:textId="115026CE" w:rsidR="002766D7" w:rsidRPr="002766D7" w:rsidRDefault="00991E63">
      <w:pPr>
        <w:pStyle w:val="24"/>
        <w:rPr>
          <w:rFonts w:asciiTheme="minorHAnsi" w:eastAsiaTheme="minorEastAsia" w:hAnsiTheme="minorHAnsi" w:cstheme="minorBidi"/>
          <w:noProof/>
          <w:sz w:val="22"/>
          <w:szCs w:val="24"/>
          <w14:ligatures w14:val="standardContextual"/>
        </w:rPr>
      </w:pPr>
      <w:hyperlink w:anchor="_Toc217917257" w:history="1">
        <w:r w:rsidR="002766D7" w:rsidRPr="002766D7">
          <w:rPr>
            <w:rStyle w:val="affffffe"/>
            <w:rFonts w:hint="eastAsia"/>
            <w:noProof/>
            <w14:scene3d>
              <w14:camera w14:prst="orthographicFront"/>
              <w14:lightRig w14:rig="threePt" w14:dir="t">
                <w14:rot w14:lat="0" w14:lon="0" w14:rev="0"/>
              </w14:lightRig>
            </w14:scene3d>
          </w:rPr>
          <w:t>6.3</w:t>
        </w:r>
        <w:r w:rsidR="002766D7">
          <w:rPr>
            <w:rStyle w:val="affffffe"/>
            <w:noProof/>
            <w14:scene3d>
              <w14:camera w14:prst="orthographicFront"/>
              <w14:lightRig w14:rig="threePt" w14:dir="t">
                <w14:rot w14:lat="0" w14:lon="0" w14:rev="0"/>
              </w14:lightRig>
            </w14:scene3d>
          </w:rPr>
          <w:t xml:space="preserve"> </w:t>
        </w:r>
        <w:r w:rsidR="002766D7" w:rsidRPr="002766D7">
          <w:rPr>
            <w:rStyle w:val="affffffe"/>
            <w:rFonts w:hint="eastAsia"/>
            <w:noProof/>
          </w:rPr>
          <w:t xml:space="preserve"> 安全监控系统设置要点</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_Toc217917257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5</w:t>
        </w:r>
        <w:r w:rsidR="002766D7" w:rsidRPr="002766D7">
          <w:rPr>
            <w:rFonts w:hint="eastAsia"/>
            <w:noProof/>
          </w:rPr>
          <w:fldChar w:fldCharType="end"/>
        </w:r>
      </w:hyperlink>
    </w:p>
    <w:p w14:paraId="09A92412" w14:textId="6474C282"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58" w:history="1">
        <w:r w:rsidR="002766D7" w:rsidRPr="002766D7">
          <w:rPr>
            <w:rStyle w:val="affffffe"/>
            <w:rFonts w:hint="eastAsia"/>
            <w:noProof/>
          </w:rPr>
          <w:t>7</w:t>
        </w:r>
        <w:r w:rsidR="002766D7">
          <w:rPr>
            <w:rStyle w:val="affffffe"/>
            <w:noProof/>
          </w:rPr>
          <w:t xml:space="preserve"> </w:t>
        </w:r>
        <w:r w:rsidR="002766D7" w:rsidRPr="002766D7">
          <w:rPr>
            <w:rStyle w:val="affffffe"/>
            <w:rFonts w:hint="eastAsia"/>
            <w:noProof/>
          </w:rPr>
          <w:t xml:space="preserve"> </w:t>
        </w:r>
        <w:r w:rsidR="001B38CE">
          <w:rPr>
            <w:rStyle w:val="affffffe"/>
            <w:rFonts w:hint="eastAsia"/>
            <w:noProof/>
          </w:rPr>
          <w:t>自动化改造</w:t>
        </w:r>
        <w:r w:rsidR="002766D7" w:rsidRPr="002766D7">
          <w:rPr>
            <w:rStyle w:val="affffffe"/>
            <w:rFonts w:hint="eastAsia"/>
            <w:noProof/>
          </w:rPr>
          <w:t>检验</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_Toc217917258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5</w:t>
        </w:r>
        <w:r w:rsidR="002766D7" w:rsidRPr="002766D7">
          <w:rPr>
            <w:rFonts w:hint="eastAsia"/>
            <w:noProof/>
          </w:rPr>
          <w:fldChar w:fldCharType="end"/>
        </w:r>
      </w:hyperlink>
    </w:p>
    <w:p w14:paraId="38D9724C" w14:textId="1898FE12"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59" w:history="1">
        <w:r w:rsidR="002766D7" w:rsidRPr="002766D7">
          <w:rPr>
            <w:rStyle w:val="affffffe"/>
            <w:rFonts w:hint="eastAsia"/>
            <w:noProof/>
          </w:rPr>
          <w:t>附录A（规范性）</w:t>
        </w:r>
        <w:r w:rsidR="002766D7">
          <w:rPr>
            <w:rStyle w:val="affffffe"/>
            <w:noProof/>
          </w:rPr>
          <w:t xml:space="preserve"> </w:t>
        </w:r>
        <w:r w:rsidR="002766D7" w:rsidRPr="002766D7">
          <w:rPr>
            <w:rStyle w:val="affffffe"/>
            <w:rFonts w:hint="eastAsia"/>
            <w:noProof/>
          </w:rPr>
          <w:t xml:space="preserve"> 气雾剂生产工序流程图</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_Toc217917259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7</w:t>
        </w:r>
        <w:r w:rsidR="002766D7" w:rsidRPr="002766D7">
          <w:rPr>
            <w:rFonts w:hint="eastAsia"/>
            <w:noProof/>
          </w:rPr>
          <w:fldChar w:fldCharType="end"/>
        </w:r>
      </w:hyperlink>
    </w:p>
    <w:p w14:paraId="0902AA73" w14:textId="270CB8F1"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60" w:history="1">
        <w:r w:rsidR="002766D7" w:rsidRPr="002766D7">
          <w:rPr>
            <w:rStyle w:val="affffffe"/>
            <w:rFonts w:hint="eastAsia"/>
            <w:noProof/>
          </w:rPr>
          <w:t>附录B（规范性）</w:t>
        </w:r>
        <w:r w:rsidR="002766D7">
          <w:rPr>
            <w:rStyle w:val="affffffe"/>
            <w:noProof/>
          </w:rPr>
          <w:t xml:space="preserve"> </w:t>
        </w:r>
        <w:r w:rsidR="002766D7" w:rsidRPr="002766D7">
          <w:rPr>
            <w:rStyle w:val="affffffe"/>
            <w:rFonts w:hint="eastAsia"/>
            <w:noProof/>
          </w:rPr>
          <w:t xml:space="preserve"> 气雾剂生产企业典型工序环节爆炸危险区域划分示例</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_Toc217917260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8</w:t>
        </w:r>
        <w:r w:rsidR="002766D7" w:rsidRPr="002766D7">
          <w:rPr>
            <w:rFonts w:hint="eastAsia"/>
            <w:noProof/>
          </w:rPr>
          <w:fldChar w:fldCharType="end"/>
        </w:r>
      </w:hyperlink>
    </w:p>
    <w:p w14:paraId="7C643803" w14:textId="09D900C0"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70" w:history="1">
        <w:r w:rsidR="002766D7" w:rsidRPr="002766D7">
          <w:rPr>
            <w:rStyle w:val="affffffe"/>
            <w:rFonts w:hint="eastAsia"/>
            <w:noProof/>
          </w:rPr>
          <w:t>附录C（规范性）</w:t>
        </w:r>
        <w:r w:rsidR="002766D7">
          <w:rPr>
            <w:rStyle w:val="affffffe"/>
            <w:noProof/>
          </w:rPr>
          <w:t xml:space="preserve"> </w:t>
        </w:r>
        <w:r w:rsidR="002766D7" w:rsidRPr="002766D7">
          <w:rPr>
            <w:rStyle w:val="affffffe"/>
            <w:rFonts w:hint="eastAsia"/>
            <w:noProof/>
          </w:rPr>
          <w:t xml:space="preserve"> 危险化学品气雾剂推进剂充填室布局</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_Toc217917270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14</w:t>
        </w:r>
        <w:r w:rsidR="002766D7" w:rsidRPr="002766D7">
          <w:rPr>
            <w:rFonts w:hint="eastAsia"/>
            <w:noProof/>
          </w:rPr>
          <w:fldChar w:fldCharType="end"/>
        </w:r>
      </w:hyperlink>
    </w:p>
    <w:p w14:paraId="2BC5C680" w14:textId="77F457D1" w:rsidR="002766D7" w:rsidRPr="002766D7" w:rsidRDefault="00991E63">
      <w:pPr>
        <w:pStyle w:val="11"/>
        <w:tabs>
          <w:tab w:val="right" w:leader="dot" w:pos="9344"/>
        </w:tabs>
        <w:rPr>
          <w:rFonts w:asciiTheme="minorHAnsi" w:eastAsiaTheme="minorEastAsia" w:hAnsiTheme="minorHAnsi" w:cstheme="minorBidi"/>
          <w:noProof/>
          <w:sz w:val="22"/>
          <w:szCs w:val="24"/>
          <w14:ligatures w14:val="standardContextual"/>
        </w:rPr>
      </w:pPr>
      <w:hyperlink w:anchor="_Toc217917271" w:history="1">
        <w:r w:rsidR="002766D7" w:rsidRPr="002766D7">
          <w:rPr>
            <w:rStyle w:val="affffffe"/>
            <w:rFonts w:hint="eastAsia"/>
            <w:noProof/>
          </w:rPr>
          <w:t>参考文献</w:t>
        </w:r>
        <w:r w:rsidR="002766D7" w:rsidRPr="002766D7">
          <w:rPr>
            <w:rFonts w:hint="eastAsia"/>
            <w:noProof/>
          </w:rPr>
          <w:tab/>
        </w:r>
        <w:r w:rsidR="002766D7" w:rsidRPr="002766D7">
          <w:rPr>
            <w:rFonts w:hint="eastAsia"/>
            <w:noProof/>
          </w:rPr>
          <w:fldChar w:fldCharType="begin"/>
        </w:r>
        <w:r w:rsidR="002766D7" w:rsidRPr="002766D7">
          <w:rPr>
            <w:rFonts w:hint="eastAsia"/>
            <w:noProof/>
          </w:rPr>
          <w:instrText xml:space="preserve"> </w:instrText>
        </w:r>
        <w:r w:rsidR="002766D7" w:rsidRPr="002766D7">
          <w:rPr>
            <w:noProof/>
          </w:rPr>
          <w:instrText>PAGEREF _Toc217917271 \h</w:instrText>
        </w:r>
        <w:r w:rsidR="002766D7" w:rsidRPr="002766D7">
          <w:rPr>
            <w:rFonts w:hint="eastAsia"/>
            <w:noProof/>
          </w:rPr>
          <w:instrText xml:space="preserve"> </w:instrText>
        </w:r>
        <w:r w:rsidR="002766D7" w:rsidRPr="002766D7">
          <w:rPr>
            <w:rFonts w:hint="eastAsia"/>
            <w:noProof/>
          </w:rPr>
        </w:r>
        <w:r w:rsidR="002766D7" w:rsidRPr="002766D7">
          <w:rPr>
            <w:rFonts w:hint="eastAsia"/>
            <w:noProof/>
          </w:rPr>
          <w:fldChar w:fldCharType="separate"/>
        </w:r>
        <w:r w:rsidR="002766D7" w:rsidRPr="002766D7">
          <w:rPr>
            <w:noProof/>
          </w:rPr>
          <w:t>15</w:t>
        </w:r>
        <w:r w:rsidR="002766D7" w:rsidRPr="002766D7">
          <w:rPr>
            <w:rFonts w:hint="eastAsia"/>
            <w:noProof/>
          </w:rPr>
          <w:fldChar w:fldCharType="end"/>
        </w:r>
      </w:hyperlink>
    </w:p>
    <w:p w14:paraId="23E0E38B" w14:textId="5D5CD645" w:rsidR="002766D7" w:rsidRPr="002766D7" w:rsidRDefault="002766D7" w:rsidP="002766D7">
      <w:pPr>
        <w:pStyle w:val="affffff2"/>
        <w:spacing w:after="468"/>
        <w:sectPr w:rsidR="002766D7" w:rsidRPr="002766D7" w:rsidSect="00CA5F4B">
          <w:headerReference w:type="even" r:id="rId13"/>
          <w:headerReference w:type="default" r:id="rId14"/>
          <w:footerReference w:type="default" r:id="rId15"/>
          <w:pgSz w:w="11906" w:h="16838" w:code="9"/>
          <w:pgMar w:top="1928" w:right="1134" w:bottom="1134" w:left="1134" w:header="1418" w:footer="1134" w:gutter="284"/>
          <w:pgNumType w:fmt="upperRoman" w:start="1"/>
          <w:cols w:space="425"/>
          <w:formProt w:val="0"/>
          <w:docGrid w:type="lines" w:linePitch="312"/>
        </w:sectPr>
      </w:pPr>
      <w:r w:rsidRPr="002766D7">
        <w:fldChar w:fldCharType="end"/>
      </w:r>
    </w:p>
    <w:p w14:paraId="1FAE1B30" w14:textId="77777777" w:rsidR="00CA5F4B" w:rsidRDefault="00CA5F4B" w:rsidP="00CA5F4B">
      <w:pPr>
        <w:pStyle w:val="a6"/>
        <w:spacing w:before="560" w:after="468"/>
      </w:pPr>
      <w:bookmarkStart w:id="23" w:name="_Toc217917248"/>
      <w:bookmarkStart w:id="24" w:name="BookMark2"/>
      <w:bookmarkEnd w:id="22"/>
      <w:r w:rsidRPr="00CA5F4B">
        <w:rPr>
          <w:rFonts w:hint="eastAsia"/>
          <w:spacing w:val="320"/>
        </w:rPr>
        <w:t>前</w:t>
      </w:r>
      <w:r>
        <w:rPr>
          <w:rFonts w:hint="eastAsia"/>
        </w:rPr>
        <w:t>言</w:t>
      </w:r>
      <w:bookmarkEnd w:id="23"/>
    </w:p>
    <w:p w14:paraId="6B7080AE" w14:textId="77777777" w:rsidR="00CA5F4B" w:rsidRDefault="00CA5F4B" w:rsidP="00CA5F4B">
      <w:pPr>
        <w:pStyle w:val="affffb"/>
        <w:ind w:firstLine="420"/>
      </w:pPr>
      <w:r>
        <w:rPr>
          <w:rFonts w:hint="eastAsia"/>
        </w:rPr>
        <w:t>本文件按照GB/T 1.1—2020《标准化工作导则  第1部分：标准化文件的结构和起草规则》的规定起草。</w:t>
      </w:r>
    </w:p>
    <w:p w14:paraId="56059669" w14:textId="77777777" w:rsidR="00CA5F4B" w:rsidRDefault="00CA5F4B" w:rsidP="00CA5F4B">
      <w:pPr>
        <w:pStyle w:val="affffb"/>
        <w:ind w:firstLine="420"/>
      </w:pPr>
      <w:r>
        <w:rPr>
          <w:rFonts w:hint="eastAsia"/>
        </w:rPr>
        <w:t>请注意本文件的某些内容可能涉及专利。本文件的发布机构不承担识别专利的责任。</w:t>
      </w:r>
    </w:p>
    <w:p w14:paraId="2F681615" w14:textId="77777777" w:rsidR="00CA5F4B" w:rsidRDefault="00CA5F4B" w:rsidP="00CA5F4B">
      <w:pPr>
        <w:pStyle w:val="affffb"/>
        <w:ind w:firstLine="420"/>
      </w:pPr>
      <w:r>
        <w:rPr>
          <w:rFonts w:hint="eastAsia"/>
        </w:rPr>
        <w:t>本文件由广东省防爆设备标准化技术委员会提出并归口。</w:t>
      </w:r>
    </w:p>
    <w:p w14:paraId="4723F899" w14:textId="30CEF4AA" w:rsidR="00CA5F4B" w:rsidRDefault="00CA5F4B" w:rsidP="00CA5F4B">
      <w:pPr>
        <w:pStyle w:val="affffb"/>
        <w:ind w:firstLine="420"/>
      </w:pPr>
      <w:r>
        <w:rPr>
          <w:rFonts w:hint="eastAsia"/>
        </w:rPr>
        <w:t>本文件起草单位：广州特种设备检测研究院</w:t>
      </w:r>
      <w:r w:rsidR="009C6B5E">
        <w:rPr>
          <w:rFonts w:hint="eastAsia"/>
        </w:rPr>
        <w:t>、广东省应急管理厅</w:t>
      </w:r>
      <w:bookmarkStart w:id="25" w:name="_GoBack"/>
      <w:bookmarkEnd w:id="25"/>
      <w:r>
        <w:rPr>
          <w:rFonts w:hint="eastAsia"/>
        </w:rPr>
        <w:t>、广东技术师范大学。</w:t>
      </w:r>
    </w:p>
    <w:p w14:paraId="52ECDAF8" w14:textId="4A04DEAC" w:rsidR="00CA5F4B" w:rsidRDefault="00CA5F4B" w:rsidP="00CA5F4B">
      <w:pPr>
        <w:pStyle w:val="affffb"/>
        <w:ind w:firstLine="420"/>
      </w:pPr>
      <w:r>
        <w:rPr>
          <w:rFonts w:hint="eastAsia"/>
        </w:rPr>
        <w:t>本文件主要起草人：</w:t>
      </w:r>
    </w:p>
    <w:p w14:paraId="5F1A19A5" w14:textId="29214AB9" w:rsidR="00CA5F4B" w:rsidRPr="00CA5F4B" w:rsidRDefault="00CA5F4B" w:rsidP="00CA5F4B">
      <w:pPr>
        <w:pStyle w:val="affffb"/>
        <w:ind w:firstLine="420"/>
        <w:sectPr w:rsidR="00CA5F4B" w:rsidRPr="00CA5F4B" w:rsidSect="002766D7">
          <w:pgSz w:w="11906" w:h="16838" w:code="9"/>
          <w:pgMar w:top="1928" w:right="1134" w:bottom="1134" w:left="1134" w:header="1418" w:footer="1134" w:gutter="284"/>
          <w:pgNumType w:fmt="upperRoman"/>
          <w:cols w:space="425"/>
          <w:formProt w:val="0"/>
          <w:docGrid w:type="lines" w:linePitch="312"/>
        </w:sectPr>
      </w:pPr>
    </w:p>
    <w:p w14:paraId="385106C2" w14:textId="77777777" w:rsidR="00894836" w:rsidRPr="00145D9D" w:rsidRDefault="00894836" w:rsidP="00093D25">
      <w:pPr>
        <w:spacing w:line="20" w:lineRule="exact"/>
        <w:jc w:val="center"/>
        <w:rPr>
          <w:rFonts w:ascii="黑体" w:eastAsia="黑体" w:hAnsi="黑体"/>
          <w:sz w:val="32"/>
          <w:szCs w:val="32"/>
        </w:rPr>
      </w:pPr>
      <w:bookmarkStart w:id="26" w:name="BookMark4"/>
      <w:bookmarkEnd w:id="24"/>
    </w:p>
    <w:p w14:paraId="177D14C6" w14:textId="77777777"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830E59BB27B0491E94709CF634143E29"/>
        </w:placeholder>
      </w:sdtPr>
      <w:sdtEndPr/>
      <w:sdtContent>
        <w:bookmarkStart w:id="27" w:name="NEW_STAND_NAME" w:displacedByCustomXml="prev"/>
        <w:p w14:paraId="3492B0AB" w14:textId="309945A5" w:rsidR="00F26B7E" w:rsidRPr="00F26B7E" w:rsidRDefault="00CA5F4B" w:rsidP="00CA5F4B">
          <w:pPr>
            <w:pStyle w:val="afffffffff8"/>
            <w:spacing w:beforeLines="100" w:before="312" w:afterLines="220" w:after="686"/>
          </w:pPr>
          <w:r>
            <w:rPr>
              <w:rFonts w:hint="eastAsia"/>
            </w:rPr>
            <w:t>危险化学品气雾剂生产车间爆炸性场所分类及自动化改造指南</w:t>
          </w:r>
        </w:p>
      </w:sdtContent>
    </w:sdt>
    <w:bookmarkEnd w:id="27" w:displacedByCustomXml="prev"/>
    <w:p w14:paraId="7A90678F" w14:textId="77777777" w:rsidR="00E2552F" w:rsidRDefault="00E2552F" w:rsidP="00A77CCB">
      <w:pPr>
        <w:pStyle w:val="affc"/>
        <w:spacing w:before="312" w:after="312"/>
      </w:pPr>
      <w:bookmarkStart w:id="28" w:name="_Toc17233325"/>
      <w:bookmarkStart w:id="29" w:name="_Toc17233333"/>
      <w:bookmarkStart w:id="30" w:name="_Toc24884211"/>
      <w:bookmarkStart w:id="31" w:name="_Toc24884218"/>
      <w:bookmarkStart w:id="32" w:name="_Toc26648465"/>
      <w:bookmarkStart w:id="33" w:name="_Toc26718930"/>
      <w:bookmarkStart w:id="34" w:name="_Toc26986530"/>
      <w:bookmarkStart w:id="35" w:name="_Toc26986771"/>
      <w:bookmarkStart w:id="36" w:name="_Toc97191423"/>
      <w:bookmarkStart w:id="37" w:name="_Toc217917249"/>
      <w:r>
        <w:rPr>
          <w:rFonts w:hint="eastAsia"/>
        </w:rPr>
        <w:t>范围</w:t>
      </w:r>
      <w:bookmarkEnd w:id="28"/>
      <w:bookmarkEnd w:id="29"/>
      <w:bookmarkEnd w:id="30"/>
      <w:bookmarkEnd w:id="31"/>
      <w:bookmarkEnd w:id="32"/>
      <w:bookmarkEnd w:id="33"/>
      <w:bookmarkEnd w:id="34"/>
      <w:bookmarkEnd w:id="35"/>
      <w:bookmarkEnd w:id="36"/>
      <w:bookmarkEnd w:id="37"/>
    </w:p>
    <w:p w14:paraId="2BEFB353" w14:textId="77777777" w:rsidR="00CA5F4B" w:rsidRDefault="00CA5F4B" w:rsidP="00CA5F4B">
      <w:pPr>
        <w:pStyle w:val="affffb"/>
        <w:ind w:firstLine="420"/>
      </w:pPr>
      <w:bookmarkStart w:id="38" w:name="_Toc17233326"/>
      <w:bookmarkStart w:id="39" w:name="_Toc17233334"/>
      <w:bookmarkStart w:id="40" w:name="_Toc24884212"/>
      <w:bookmarkStart w:id="41" w:name="_Toc24884219"/>
      <w:bookmarkStart w:id="42" w:name="_Toc26648466"/>
      <w:r>
        <w:rPr>
          <w:rFonts w:hint="eastAsia"/>
        </w:rPr>
        <w:t>本文件提供了危险化学品气雾剂（以下简称气雾剂）生产车间爆炸性场所分类及自动化改造的指南。</w:t>
      </w:r>
    </w:p>
    <w:p w14:paraId="25BF44A1" w14:textId="77777777" w:rsidR="00CA5F4B" w:rsidRDefault="00CA5F4B" w:rsidP="00CA5F4B">
      <w:pPr>
        <w:pStyle w:val="affffb"/>
        <w:ind w:firstLine="420"/>
      </w:pPr>
      <w:r>
        <w:rPr>
          <w:rFonts w:hint="eastAsia"/>
        </w:rPr>
        <w:t>本文件适用于危险化学品气雾剂生产企业气雾剂生产线的新建、扩建、改建或相关生产装置的自动化控制改造。</w:t>
      </w:r>
    </w:p>
    <w:p w14:paraId="35B8A749" w14:textId="324937A4" w:rsidR="00CA5F4B" w:rsidRDefault="00CA5F4B" w:rsidP="00CA5F4B">
      <w:pPr>
        <w:pStyle w:val="afff2"/>
      </w:pPr>
      <w:r>
        <w:rPr>
          <w:rFonts w:hint="eastAsia"/>
        </w:rPr>
        <w:t>气雾剂生产主要包括剂料配制、放珠、剂料灌装、气雾阀放置、封阀、推进剂充填、重量检测、泄漏检测、促动器安装、保护盖安装、产品喷码、后包装作业（贴标、装盒、热收缩膜包装、装箱、封箱、打包装带）、废次品处理以及成品搬运储存等作业过程。气雾剂生产具体工序参见附录A。</w:t>
      </w:r>
    </w:p>
    <w:p w14:paraId="10E1D82E" w14:textId="07F66A59" w:rsidR="008B0C9C" w:rsidRDefault="00CA5F4B" w:rsidP="00CA5F4B">
      <w:pPr>
        <w:pStyle w:val="affffb"/>
        <w:ind w:firstLine="420"/>
      </w:pPr>
      <w:r>
        <w:rPr>
          <w:rFonts w:hint="eastAsia"/>
        </w:rPr>
        <w:t>本文件不适用于仅生产非危险化学品气雾剂产品的生产企业。</w:t>
      </w:r>
    </w:p>
    <w:p w14:paraId="432F20AC" w14:textId="77777777" w:rsidR="00E2552F" w:rsidRDefault="00E2552F" w:rsidP="00A77CCB">
      <w:pPr>
        <w:pStyle w:val="affc"/>
        <w:spacing w:before="312" w:after="312"/>
      </w:pPr>
      <w:bookmarkStart w:id="43" w:name="_Toc26718931"/>
      <w:bookmarkStart w:id="44" w:name="_Toc26986531"/>
      <w:bookmarkStart w:id="45" w:name="_Toc26986772"/>
      <w:bookmarkStart w:id="46" w:name="_Toc97191424"/>
      <w:bookmarkStart w:id="47" w:name="_Toc217917250"/>
      <w:r>
        <w:rPr>
          <w:rFonts w:hint="eastAsia"/>
        </w:rPr>
        <w:t>规范性引用文件</w:t>
      </w:r>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D849B8FFE5594A078EB6472D4320B106"/>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14:paraId="020536A9" w14:textId="77777777"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44ED70F4" w14:textId="77777777" w:rsidR="00CA5F4B" w:rsidRDefault="00CA5F4B" w:rsidP="00CA5F4B">
      <w:pPr>
        <w:pStyle w:val="affffb"/>
        <w:ind w:firstLine="420"/>
      </w:pPr>
      <w:r>
        <w:rPr>
          <w:rFonts w:hint="eastAsia"/>
        </w:rPr>
        <w:t>GB/T 3836.14  爆炸性环境  14部分：场所分类  爆炸性气体环境</w:t>
      </w:r>
    </w:p>
    <w:p w14:paraId="6413166F" w14:textId="77777777" w:rsidR="00CA5F4B" w:rsidRDefault="00CA5F4B" w:rsidP="00CA5F4B">
      <w:pPr>
        <w:pStyle w:val="affffb"/>
        <w:ind w:firstLine="420"/>
      </w:pPr>
      <w:r>
        <w:rPr>
          <w:rFonts w:hint="eastAsia"/>
        </w:rPr>
        <w:t>GB 3836.15  爆炸性环境  第15部分：电气装置设计、选型、安装规范</w:t>
      </w:r>
    </w:p>
    <w:p w14:paraId="4B507957" w14:textId="77777777" w:rsidR="00CA5F4B" w:rsidRDefault="00CA5F4B" w:rsidP="00CA5F4B">
      <w:pPr>
        <w:pStyle w:val="affffb"/>
        <w:ind w:firstLine="420"/>
      </w:pPr>
      <w:r>
        <w:rPr>
          <w:rFonts w:hint="eastAsia"/>
        </w:rPr>
        <w:t>GB 50058  爆炸危险环境电力装置设计规范</w:t>
      </w:r>
    </w:p>
    <w:p w14:paraId="694BD05A" w14:textId="77777777" w:rsidR="00CA5F4B" w:rsidRDefault="00CA5F4B" w:rsidP="00CA5F4B">
      <w:pPr>
        <w:pStyle w:val="affffb"/>
        <w:ind w:firstLine="420"/>
      </w:pPr>
      <w:r>
        <w:rPr>
          <w:rFonts w:hint="eastAsia"/>
        </w:rPr>
        <w:t>GB/T 50493  石油化工可燃气体和有毒气体检测报警设计标准</w:t>
      </w:r>
    </w:p>
    <w:p w14:paraId="1D0EB282" w14:textId="1C84ED0E" w:rsidR="00AA6EC9" w:rsidRPr="00CA5F4B" w:rsidRDefault="00CA5F4B" w:rsidP="00CA5F4B">
      <w:pPr>
        <w:pStyle w:val="affffb"/>
        <w:ind w:firstLine="420"/>
      </w:pPr>
      <w:r>
        <w:rPr>
          <w:rFonts w:hint="eastAsia"/>
        </w:rPr>
        <w:t>AQ 3041  气雾剂安全生产规程</w:t>
      </w:r>
    </w:p>
    <w:p w14:paraId="57E2F926" w14:textId="77777777" w:rsidR="00B265BC" w:rsidRPr="00E030F9" w:rsidRDefault="00FD59EB" w:rsidP="00FD59EB">
      <w:pPr>
        <w:pStyle w:val="affc"/>
        <w:spacing w:before="312" w:after="312"/>
      </w:pPr>
      <w:bookmarkStart w:id="48" w:name="_Toc97191425"/>
      <w:bookmarkStart w:id="49" w:name="_Toc217917251"/>
      <w:r>
        <w:rPr>
          <w:rFonts w:hint="eastAsia"/>
          <w:szCs w:val="21"/>
        </w:rPr>
        <w:t>术语和定义</w:t>
      </w:r>
      <w:bookmarkEnd w:id="48"/>
      <w:bookmarkEnd w:id="49"/>
    </w:p>
    <w:bookmarkStart w:id="50" w:name="_Toc26986532" w:displacedByCustomXml="next"/>
    <w:bookmarkEnd w:id="50" w:displacedByCustomXml="next"/>
    <w:sdt>
      <w:sdtPr>
        <w:id w:val="-1909835108"/>
        <w:placeholder>
          <w:docPart w:val="7F9F92FDDCB54BF48EB081313FB0295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14:paraId="397D0211" w14:textId="21C21E7A" w:rsidR="003C010C" w:rsidRDefault="00CA5F4B" w:rsidP="00BA263B">
          <w:pPr>
            <w:pStyle w:val="affffb"/>
            <w:ind w:firstLine="420"/>
          </w:pPr>
          <w:r>
            <w:t>下列术语和定义适用于本文件。</w:t>
          </w:r>
        </w:p>
      </w:sdtContent>
    </w:sdt>
    <w:p w14:paraId="2949E744" w14:textId="6E5EB59E" w:rsidR="00CA5F4B" w:rsidRPr="00CA5F4B" w:rsidRDefault="00CA5F4B" w:rsidP="00CA5F4B">
      <w:pPr>
        <w:pStyle w:val="afffffffffff5"/>
        <w:ind w:left="420" w:hangingChars="200" w:hanging="420"/>
        <w:rPr>
          <w:rFonts w:ascii="黑体" w:eastAsia="黑体" w:hAnsi="黑体"/>
        </w:rPr>
      </w:pPr>
      <w:r w:rsidRPr="00CA5F4B">
        <w:rPr>
          <w:rFonts w:ascii="黑体" w:eastAsia="黑体" w:hAnsi="黑体" w:hint="eastAsia"/>
        </w:rPr>
        <w:br/>
        <w:t>气雾剂</w:t>
      </w:r>
    </w:p>
    <w:p w14:paraId="1339E3A3" w14:textId="77777777" w:rsidR="00CA5F4B" w:rsidRDefault="00CA5F4B" w:rsidP="00CA5F4B">
      <w:pPr>
        <w:pStyle w:val="affffb"/>
        <w:ind w:firstLine="420"/>
      </w:pPr>
      <w:r>
        <w:rPr>
          <w:rFonts w:hint="eastAsia"/>
        </w:rPr>
        <w:t>内容物盛装在装配气雾阀的容积不大于1000 mL的气雾罐内，使用时在推进剂的压力下内容物按预定形态释放，且不可重复灌装的产品。</w:t>
      </w:r>
    </w:p>
    <w:p w14:paraId="2EDEA614" w14:textId="77777777" w:rsidR="00CA5F4B" w:rsidRDefault="00CA5F4B" w:rsidP="00CA5F4B">
      <w:pPr>
        <w:pStyle w:val="afff2"/>
      </w:pPr>
      <w:r>
        <w:t>气雾剂以喷射的方式使用，喷出物呈固态、液态或气态，喷出形态为雾状、泡沫、粉末、胶束。</w:t>
      </w:r>
    </w:p>
    <w:p w14:paraId="4F75BEDA" w14:textId="4B2C526D" w:rsidR="00CA5F4B" w:rsidRPr="00CA5F4B" w:rsidRDefault="00CA5F4B" w:rsidP="00CA5F4B">
      <w:pPr>
        <w:pStyle w:val="afffffffffff5"/>
        <w:ind w:left="420" w:hangingChars="200" w:hanging="420"/>
        <w:rPr>
          <w:rFonts w:ascii="黑体" w:eastAsia="黑体" w:hAnsi="黑体"/>
        </w:rPr>
      </w:pPr>
      <w:r w:rsidRPr="00CA5F4B">
        <w:rPr>
          <w:rFonts w:ascii="黑体" w:eastAsia="黑体" w:hAnsi="黑体" w:hint="eastAsia"/>
        </w:rPr>
        <w:br/>
        <w:t>危险化学品气雾剂</w:t>
      </w:r>
    </w:p>
    <w:p w14:paraId="7327A0FC" w14:textId="77777777" w:rsidR="00CA5F4B" w:rsidRDefault="00CA5F4B" w:rsidP="00CA5F4B">
      <w:pPr>
        <w:pStyle w:val="affffb"/>
        <w:ind w:firstLine="420"/>
      </w:pPr>
      <w:r w:rsidRPr="00430651">
        <w:rPr>
          <w:rFonts w:hint="eastAsia"/>
          <w:szCs w:val="22"/>
        </w:rPr>
        <w:t>按照GB 30000.4分类为类别1（极易燃气溶胶）的气雾剂。</w:t>
      </w:r>
    </w:p>
    <w:p w14:paraId="5257E40C" w14:textId="7BD8039B" w:rsidR="00CA5F4B" w:rsidRPr="00CA5F4B" w:rsidRDefault="00CA5F4B" w:rsidP="00CA5F4B">
      <w:pPr>
        <w:pStyle w:val="afffffffffff5"/>
        <w:ind w:left="420" w:hangingChars="200" w:hanging="420"/>
        <w:rPr>
          <w:rFonts w:ascii="黑体" w:eastAsia="黑体" w:hAnsi="黑体"/>
        </w:rPr>
      </w:pPr>
      <w:r w:rsidRPr="00CA5F4B">
        <w:rPr>
          <w:rFonts w:ascii="黑体" w:eastAsia="黑体" w:hAnsi="黑体"/>
        </w:rPr>
        <w:br/>
      </w:r>
      <w:r w:rsidRPr="00CA5F4B">
        <w:rPr>
          <w:rFonts w:ascii="黑体" w:eastAsia="黑体" w:hAnsi="黑体" w:hint="eastAsia"/>
        </w:rPr>
        <w:t>固定岗位</w:t>
      </w:r>
    </w:p>
    <w:p w14:paraId="10D48DFC" w14:textId="77777777" w:rsidR="00CA5F4B" w:rsidRDefault="00CA5F4B" w:rsidP="00CA5F4B">
      <w:pPr>
        <w:pStyle w:val="affffb"/>
        <w:ind w:firstLine="420"/>
      </w:pPr>
      <w:r w:rsidRPr="00FE4B87">
        <w:rPr>
          <w:rFonts w:hint="eastAsia"/>
        </w:rPr>
        <w:t>指因工艺设备连续作业需要长期固定或周期性固定操作人员的岗位，包括放罐理罐、放珠、剂料灌装、气雾阀放置、封阀、重量检测、泄漏检测、促动器安装、保护盖安装、产品喷码、后包装作业（贴标、装盒、热收缩膜包装、装箱、封箱、打包装带）等工序人工作业或为保证连续生产而设置的岗位。</w:t>
      </w:r>
    </w:p>
    <w:p w14:paraId="78C8EADF" w14:textId="2700975B" w:rsidR="00CA5F4B" w:rsidRDefault="00CA5F4B" w:rsidP="00CA5F4B">
      <w:pPr>
        <w:pStyle w:val="afff2"/>
        <w:rPr>
          <w:rFonts w:ascii="黑体" w:eastAsia="黑体" w:hAnsi="黑体"/>
          <w:noProof/>
        </w:rPr>
      </w:pPr>
      <w:r w:rsidRPr="00CA5F4B">
        <w:rPr>
          <w:rFonts w:hint="eastAsia"/>
        </w:rPr>
        <w:t>运输气雾罐到放罐理罐区域或将气雾剂成品运离甲类车间的作业人员，以及为生产补充气雾阀、玻珠、喷头、盖体、标签、红管、油墨等附件或原料的非长期在甲类车间工作的作业人员，不属于固定岗位作业人员数量。</w:t>
      </w:r>
    </w:p>
    <w:p w14:paraId="4E8A590D" w14:textId="0000547E" w:rsidR="00CA5F4B" w:rsidRPr="00CA5F4B" w:rsidRDefault="00CA5F4B" w:rsidP="00CA5F4B">
      <w:pPr>
        <w:pStyle w:val="afffffffffff5"/>
        <w:ind w:left="420" w:hangingChars="200" w:hanging="420"/>
        <w:rPr>
          <w:rFonts w:ascii="黑体" w:eastAsia="黑体" w:hAnsi="黑体"/>
          <w:noProof/>
        </w:rPr>
      </w:pPr>
      <w:r w:rsidRPr="00CA5F4B">
        <w:rPr>
          <w:rFonts w:ascii="黑体" w:eastAsia="黑体" w:hAnsi="黑体" w:hint="eastAsia"/>
          <w:noProof/>
        </w:rPr>
        <w:br/>
        <w:t>第三方机构</w:t>
      </w:r>
    </w:p>
    <w:p w14:paraId="2C872C21" w14:textId="77777777" w:rsidR="00CA5F4B" w:rsidRDefault="00CA5F4B" w:rsidP="00CA5F4B">
      <w:pPr>
        <w:pStyle w:val="affffb"/>
        <w:ind w:firstLine="420"/>
      </w:pPr>
      <w:bookmarkStart w:id="51" w:name="OLE_LINK13"/>
      <w:bookmarkStart w:id="52" w:name="OLE_LINK14"/>
      <w:r>
        <w:rPr>
          <w:rFonts w:hint="eastAsia"/>
        </w:rPr>
        <w:t>是指两个相互联系的主体之外的某个客体，可以和两个主体有联系，也可以独立于两个主体</w:t>
      </w:r>
      <w:bookmarkEnd w:id="51"/>
      <w:bookmarkEnd w:id="52"/>
      <w:r>
        <w:rPr>
          <w:rFonts w:hint="eastAsia"/>
        </w:rPr>
        <w:t>，处于两个主体买卖利益之外，以公正、权威的非当事人身份，根据有关法律、标准或合同进行检验活动。</w:t>
      </w:r>
    </w:p>
    <w:p w14:paraId="58B4B0C0" w14:textId="77777777" w:rsidR="00CA5F4B" w:rsidRDefault="00CA5F4B" w:rsidP="00CA5F4B">
      <w:pPr>
        <w:pStyle w:val="afff2"/>
      </w:pPr>
      <w:r>
        <w:rPr>
          <w:rFonts w:hint="eastAsia"/>
        </w:rPr>
        <w:t>第三方机构检验又称为公正检验。</w:t>
      </w:r>
    </w:p>
    <w:p w14:paraId="0CF1019E" w14:textId="77777777" w:rsidR="00CA5F4B" w:rsidRDefault="00CA5F4B" w:rsidP="00CA5F4B">
      <w:pPr>
        <w:pStyle w:val="affc"/>
        <w:spacing w:before="312" w:after="312"/>
      </w:pPr>
      <w:bookmarkStart w:id="53" w:name="_Toc183683214"/>
      <w:bookmarkStart w:id="54" w:name="_Toc12571"/>
      <w:bookmarkStart w:id="55" w:name="_Toc217917252"/>
      <w:r>
        <w:rPr>
          <w:rFonts w:hint="eastAsia"/>
        </w:rPr>
        <w:t>总体</w:t>
      </w:r>
      <w:bookmarkEnd w:id="53"/>
      <w:r>
        <w:rPr>
          <w:rFonts w:hint="eastAsia"/>
        </w:rPr>
        <w:t>原则</w:t>
      </w:r>
      <w:bookmarkEnd w:id="54"/>
      <w:bookmarkEnd w:id="55"/>
    </w:p>
    <w:p w14:paraId="14D7D2EF" w14:textId="77777777" w:rsidR="00CA5F4B" w:rsidRDefault="00CA5F4B" w:rsidP="00CA5F4B">
      <w:pPr>
        <w:pStyle w:val="affffffffe"/>
      </w:pPr>
      <w:r>
        <w:rPr>
          <w:rFonts w:hint="eastAsia"/>
        </w:rPr>
        <w:t>气雾剂生产作业场所应控制固定岗位作业人员数量，并满足以下要求：</w:t>
      </w:r>
    </w:p>
    <w:p w14:paraId="36C3C7B5" w14:textId="77777777" w:rsidR="00CA5F4B" w:rsidRPr="00744808" w:rsidRDefault="00CA5F4B" w:rsidP="00CA5F4B">
      <w:pPr>
        <w:pStyle w:val="af5"/>
      </w:pPr>
      <w:r w:rsidRPr="00744808">
        <w:rPr>
          <w:rFonts w:hint="eastAsia"/>
        </w:rPr>
        <w:t>新建气雾剂生产企业或在原厂区内扩建气雾剂生产车间的，单个防火分区内固定岗位作业人员不应超过9人；</w:t>
      </w:r>
    </w:p>
    <w:p w14:paraId="0FD13D07" w14:textId="77777777" w:rsidR="00CA5F4B" w:rsidRPr="00744808" w:rsidRDefault="00CA5F4B" w:rsidP="00CA5F4B">
      <w:pPr>
        <w:pStyle w:val="af5"/>
      </w:pPr>
      <w:r w:rsidRPr="00744808">
        <w:rPr>
          <w:rFonts w:hint="eastAsia"/>
        </w:rPr>
        <w:t>在现有气雾剂生产车间内扩建气雾剂灌装线的，单个防火分区内固定岗位作业人员不应超过15人；</w:t>
      </w:r>
    </w:p>
    <w:p w14:paraId="691EF9F3" w14:textId="77777777" w:rsidR="00CA5F4B" w:rsidRDefault="00CA5F4B" w:rsidP="00CA5F4B">
      <w:pPr>
        <w:pStyle w:val="af5"/>
      </w:pPr>
      <w:r w:rsidRPr="00744808">
        <w:rPr>
          <w:rFonts w:hint="eastAsia"/>
        </w:rPr>
        <w:t>新建、在原厂区内扩建生产车间、在现有生产车间内扩建灌装线的气雾剂生产企业不应在推进剂充填、泄漏检测工序设置固定岗位作。</w:t>
      </w:r>
    </w:p>
    <w:p w14:paraId="6467D942" w14:textId="77777777" w:rsidR="00CA5F4B" w:rsidRDefault="00CA5F4B" w:rsidP="00CA5F4B">
      <w:pPr>
        <w:pStyle w:val="afff2"/>
      </w:pPr>
      <w:r>
        <w:rPr>
          <w:rFonts w:hint="eastAsia"/>
        </w:rPr>
        <w:t>防火分区以消防备案的防火分区设计图为准。</w:t>
      </w:r>
    </w:p>
    <w:p w14:paraId="7F06AE16" w14:textId="77777777" w:rsidR="00CA5F4B" w:rsidRDefault="00CA5F4B" w:rsidP="00CA5F4B">
      <w:pPr>
        <w:pStyle w:val="affffffffe"/>
      </w:pPr>
      <w:r>
        <w:rPr>
          <w:rFonts w:hint="eastAsia"/>
        </w:rPr>
        <w:t>气雾剂生产自动化装置设计时依据爆炸危险区域划分选用相应防爆等级的防爆电气设备，根据</w:t>
      </w:r>
      <w:r w:rsidRPr="00430651">
        <w:t>GB 3836.15</w:t>
      </w:r>
      <w:r>
        <w:rPr>
          <w:rFonts w:hint="eastAsia"/>
        </w:rPr>
        <w:t>对防爆电气进行设计、选型和安装。</w:t>
      </w:r>
    </w:p>
    <w:p w14:paraId="3E517E86" w14:textId="77777777" w:rsidR="00CA5F4B" w:rsidRDefault="00CA5F4B" w:rsidP="00CA5F4B">
      <w:pPr>
        <w:pStyle w:val="affffffffe"/>
      </w:pPr>
      <w:r>
        <w:rPr>
          <w:rFonts w:hint="eastAsia"/>
        </w:rPr>
        <w:t>气雾剂生产自动化控制室（柜）宜设置紧急停车按钮,生产现场宜设置就地紧急停车按钮。控制室（柜）紧急停车按钮和重要的复位、报警等功能按钮宜设置硬按钮，就地紧急停车按钮宜分区域集中设置在操作人员易于接近的地点。</w:t>
      </w:r>
    </w:p>
    <w:p w14:paraId="576FB052" w14:textId="77777777" w:rsidR="00CA5F4B" w:rsidRDefault="00CA5F4B" w:rsidP="00CA5F4B">
      <w:pPr>
        <w:pStyle w:val="affffffffe"/>
      </w:pPr>
      <w:r>
        <w:rPr>
          <w:rFonts w:hint="eastAsia"/>
        </w:rPr>
        <w:t>气雾剂生产自动化装置及输送装置宜采取有效的防（导）静电措施，金属部件间宜进行等电位连接并有效接地，非金属部件的最大表面电阻不大于10</w:t>
      </w:r>
      <w:r>
        <w:rPr>
          <w:rFonts w:hint="eastAsia"/>
          <w:vertAlign w:val="superscript"/>
        </w:rPr>
        <w:t>9</w:t>
      </w:r>
      <w:r>
        <w:rPr>
          <w:rFonts w:hint="eastAsia"/>
        </w:rPr>
        <w:t>Ω，作业场所宜设置有人体静电导出装置。</w:t>
      </w:r>
    </w:p>
    <w:p w14:paraId="72CC2B3A" w14:textId="77777777" w:rsidR="00CA5F4B" w:rsidRDefault="00CA5F4B" w:rsidP="00CA5F4B">
      <w:pPr>
        <w:pStyle w:val="affffffffe"/>
      </w:pPr>
      <w:r>
        <w:rPr>
          <w:rFonts w:hint="eastAsia"/>
        </w:rPr>
        <w:t>新建的气雾剂自动化生产线宜与内容物调配间分开设置；已建的气雾剂生产装置进行自动化改造时，宜与内容物调配间分开设置或隔离，若无法实现时，爆炸危险区域的划分及相关装置防爆选型时，宜考虑调配间工艺设备对防爆安全的影响。</w:t>
      </w:r>
    </w:p>
    <w:p w14:paraId="1DA3506D" w14:textId="77777777" w:rsidR="00CA5F4B" w:rsidRDefault="00CA5F4B" w:rsidP="00CA5F4B">
      <w:pPr>
        <w:pStyle w:val="affffffffe"/>
      </w:pPr>
      <w:r>
        <w:rPr>
          <w:rFonts w:hint="eastAsia"/>
        </w:rPr>
        <w:t>气雾剂生产企业应根据实际情况，按照机械化换人、自动化减人的本质安全原则，选用下列措施进行自动化设计或改造提升：</w:t>
      </w:r>
    </w:p>
    <w:p w14:paraId="1D511EEC" w14:textId="77777777" w:rsidR="00CA5F4B" w:rsidRDefault="00CA5F4B" w:rsidP="00CA5F4B">
      <w:pPr>
        <w:pStyle w:val="af5"/>
        <w:numPr>
          <w:ilvl w:val="0"/>
          <w:numId w:val="34"/>
        </w:numPr>
      </w:pPr>
      <w:r>
        <w:rPr>
          <w:rFonts w:hint="eastAsia"/>
        </w:rPr>
        <w:t>优化设计生产作业场所立体空间布局，采取气雾剂罐、气雾剂阀、促动器、保护盖等配件投料工序与剂料灌装、检测检验、附件装配、成品包装等工序分离的设计方式；</w:t>
      </w:r>
    </w:p>
    <w:p w14:paraId="4C1BF57D" w14:textId="77777777" w:rsidR="00CA5F4B" w:rsidRDefault="00CA5F4B" w:rsidP="00CA5F4B">
      <w:pPr>
        <w:pStyle w:val="af5"/>
      </w:pPr>
      <w:r>
        <w:rPr>
          <w:rFonts w:hint="eastAsia"/>
        </w:rPr>
        <w:t>放罐理罐、放珠、气雾阀放置、促动器安装、保护盖安装以及后包装作业等传统人工作业工序采用自动化生产装置或开展自动化改造；</w:t>
      </w:r>
    </w:p>
    <w:p w14:paraId="67A58743" w14:textId="77777777" w:rsidR="00CA5F4B" w:rsidRDefault="00CA5F4B" w:rsidP="00CA5F4B">
      <w:pPr>
        <w:pStyle w:val="af5"/>
      </w:pPr>
      <w:r>
        <w:rPr>
          <w:rFonts w:hint="eastAsia"/>
        </w:rPr>
        <w:t>泄漏检测鼓励采用智能化无人水浴检测系统代替人工水浴检测的方式；</w:t>
      </w:r>
    </w:p>
    <w:p w14:paraId="0BC52929" w14:textId="544300C9" w:rsidR="004B3E93" w:rsidRPr="00CA5F4B" w:rsidRDefault="00CA5F4B" w:rsidP="00CA5F4B">
      <w:pPr>
        <w:pStyle w:val="affffffffe"/>
      </w:pPr>
      <w:r>
        <w:rPr>
          <w:rFonts w:hint="eastAsia"/>
        </w:rPr>
        <w:t>对于定制化气雾剂产品生产线尚不具备自动化生产作业条件的，可采取安全风险数字化管控措施调度安排错峰生产，以减少作业人员集聚作业风险。</w:t>
      </w:r>
    </w:p>
    <w:p w14:paraId="3ACA28DE" w14:textId="77777777" w:rsidR="00CA5F4B" w:rsidRDefault="00CA5F4B" w:rsidP="00CA5F4B">
      <w:pPr>
        <w:pStyle w:val="affc"/>
        <w:spacing w:before="312" w:after="312"/>
      </w:pPr>
      <w:bookmarkStart w:id="56" w:name="_Toc3395"/>
      <w:bookmarkStart w:id="57" w:name="_Toc217917253"/>
      <w:r>
        <w:rPr>
          <w:rFonts w:hint="eastAsia"/>
        </w:rPr>
        <w:t>爆炸危险区域划分</w:t>
      </w:r>
      <w:bookmarkEnd w:id="56"/>
      <w:bookmarkEnd w:id="57"/>
    </w:p>
    <w:p w14:paraId="152B7730" w14:textId="77777777" w:rsidR="00CA5F4B" w:rsidRDefault="00CA5F4B" w:rsidP="00CA5F4B">
      <w:pPr>
        <w:pStyle w:val="affffffffe"/>
      </w:pPr>
      <w:r>
        <w:rPr>
          <w:rFonts w:hint="eastAsia"/>
        </w:rPr>
        <w:t>根据爆炸性气体环境出现的频次和持续时间，爆炸性</w:t>
      </w:r>
      <w:r>
        <w:t>气体环境</w:t>
      </w:r>
      <w:r>
        <w:rPr>
          <w:rFonts w:hint="eastAsia"/>
        </w:rPr>
        <w:t>危险场所分为0区</w:t>
      </w:r>
      <w:r>
        <w:t>、</w:t>
      </w:r>
      <w:r>
        <w:rPr>
          <w:rFonts w:hint="eastAsia"/>
        </w:rPr>
        <w:t>1区</w:t>
      </w:r>
      <w:r>
        <w:t>和</w:t>
      </w:r>
      <w:r>
        <w:rPr>
          <w:rFonts w:hint="eastAsia"/>
        </w:rPr>
        <w:t>2区：</w:t>
      </w:r>
    </w:p>
    <w:p w14:paraId="3F881A12" w14:textId="77777777" w:rsidR="00CA5F4B" w:rsidRDefault="00CA5F4B" w:rsidP="00CA5F4B">
      <w:pPr>
        <w:pStyle w:val="af5"/>
        <w:numPr>
          <w:ilvl w:val="0"/>
          <w:numId w:val="36"/>
        </w:numPr>
      </w:pPr>
      <w:r w:rsidRPr="00061A80">
        <w:t>0区：</w:t>
      </w:r>
      <w:r w:rsidRPr="00061A80">
        <w:rPr>
          <w:rFonts w:hint="eastAsia"/>
        </w:rPr>
        <w:t>爆炸性</w:t>
      </w:r>
      <w:r w:rsidRPr="00061A80">
        <w:t>气体环境连续出现或</w:t>
      </w:r>
      <w:r w:rsidRPr="00061A80">
        <w:rPr>
          <w:rFonts w:hint="eastAsia"/>
        </w:rPr>
        <w:t>频繁出现</w:t>
      </w:r>
      <w:r w:rsidRPr="00061A80">
        <w:t>或长时间存在的</w:t>
      </w:r>
      <w:r w:rsidRPr="00061A80">
        <w:rPr>
          <w:rFonts w:hint="eastAsia"/>
        </w:rPr>
        <w:t>场所；</w:t>
      </w:r>
    </w:p>
    <w:p w14:paraId="635CEFC4" w14:textId="77777777" w:rsidR="00CA5F4B" w:rsidRDefault="00CA5F4B" w:rsidP="00CA5F4B">
      <w:pPr>
        <w:pStyle w:val="af5"/>
      </w:pPr>
      <w:r>
        <w:rPr>
          <w:rFonts w:hint="eastAsia"/>
        </w:rPr>
        <w:t>1</w:t>
      </w:r>
      <w:r>
        <w:t>区：在正常运行时</w:t>
      </w:r>
      <w:r>
        <w:rPr>
          <w:rFonts w:hint="eastAsia"/>
        </w:rPr>
        <w:t>，</w:t>
      </w:r>
      <w:r>
        <w:t>可能</w:t>
      </w:r>
      <w:r>
        <w:rPr>
          <w:rFonts w:hint="eastAsia"/>
        </w:rPr>
        <w:t>偶尔</w:t>
      </w:r>
      <w:r>
        <w:t>出现爆炸性气体</w:t>
      </w:r>
      <w:r>
        <w:rPr>
          <w:rFonts w:hint="eastAsia"/>
        </w:rPr>
        <w:t>环境</w:t>
      </w:r>
      <w:r>
        <w:t>的</w:t>
      </w:r>
      <w:r>
        <w:rPr>
          <w:rFonts w:hint="eastAsia"/>
        </w:rPr>
        <w:t>场所；</w:t>
      </w:r>
    </w:p>
    <w:p w14:paraId="7F671A20" w14:textId="77777777" w:rsidR="00CA5F4B" w:rsidRDefault="00CA5F4B" w:rsidP="00CA5F4B">
      <w:pPr>
        <w:pStyle w:val="af5"/>
      </w:pPr>
      <w:r>
        <w:t>2区：在正常运行时</w:t>
      </w:r>
      <w:r>
        <w:rPr>
          <w:rFonts w:hint="eastAsia"/>
        </w:rPr>
        <w:t>，</w:t>
      </w:r>
      <w:r>
        <w:t>不可能出现爆炸性气体环境，</w:t>
      </w:r>
      <w:r>
        <w:rPr>
          <w:rFonts w:hint="eastAsia"/>
        </w:rPr>
        <w:t>如果</w:t>
      </w:r>
      <w:r>
        <w:t>出现，仅</w:t>
      </w:r>
      <w:r>
        <w:rPr>
          <w:rFonts w:hint="eastAsia"/>
        </w:rPr>
        <w:t>是</w:t>
      </w:r>
      <w:r>
        <w:t>短时间存在的场所。</w:t>
      </w:r>
    </w:p>
    <w:p w14:paraId="31623B5B" w14:textId="77777777" w:rsidR="00CA5F4B" w:rsidRDefault="00CA5F4B" w:rsidP="00CA5F4B">
      <w:pPr>
        <w:pStyle w:val="affffffffe"/>
      </w:pPr>
      <w:r>
        <w:t>气雾剂生产作业场所内，存在爆炸性气体环境释放源的工艺设备安</w:t>
      </w:r>
      <w:r>
        <w:rPr>
          <w:rFonts w:hint="eastAsia"/>
        </w:rPr>
        <w:t>装隔离罩（除重量检测台、加盖机外），机罩内有效通风并保持负压，且在适宜位置设置可燃气体探测器。</w:t>
      </w:r>
    </w:p>
    <w:p w14:paraId="208BE41B" w14:textId="77777777" w:rsidR="00CA5F4B" w:rsidRDefault="00CA5F4B" w:rsidP="00CA5F4B">
      <w:pPr>
        <w:pStyle w:val="affffffffe"/>
      </w:pPr>
      <w:bookmarkStart w:id="58" w:name="OLE_LINK16"/>
      <w:r>
        <w:rPr>
          <w:rFonts w:hint="eastAsia"/>
        </w:rPr>
        <w:t>气雾剂灌装线爆炸危险区域</w:t>
      </w:r>
      <w:bookmarkEnd w:id="58"/>
      <w:r>
        <w:rPr>
          <w:rFonts w:hint="eastAsia"/>
        </w:rPr>
        <w:t>划分为</w:t>
      </w:r>
      <w:r>
        <w:t>1</w:t>
      </w:r>
      <w:r>
        <w:rPr>
          <w:rFonts w:hint="eastAsia"/>
        </w:rPr>
        <w:t>区</w:t>
      </w:r>
      <w:r>
        <w:t>的场所及</w:t>
      </w:r>
      <w:r>
        <w:rPr>
          <w:rFonts w:hint="eastAsia"/>
        </w:rPr>
        <w:t>要求：</w:t>
      </w:r>
    </w:p>
    <w:p w14:paraId="31BAB5AD" w14:textId="77777777" w:rsidR="00CA5F4B" w:rsidRDefault="00CA5F4B" w:rsidP="00CA5F4B">
      <w:pPr>
        <w:pStyle w:val="af5"/>
        <w:numPr>
          <w:ilvl w:val="0"/>
          <w:numId w:val="37"/>
        </w:numPr>
      </w:pPr>
      <w:r w:rsidRPr="00061A80">
        <w:rPr>
          <w:rFonts w:hint="eastAsia"/>
        </w:rPr>
        <w:t>进剂充填室应采用强制通风，且</w:t>
      </w:r>
      <w:r>
        <w:rPr>
          <w:rFonts w:hint="eastAsia"/>
        </w:rPr>
        <w:t>满足AQ 3041的</w:t>
      </w:r>
      <w:r w:rsidRPr="00061A80">
        <w:t>要求；</w:t>
      </w:r>
      <w:r w:rsidRPr="00061A80">
        <w:rPr>
          <w:rFonts w:hint="eastAsia"/>
        </w:rPr>
        <w:t>设置可燃气体探测器并与推进剂输</w:t>
      </w:r>
      <w:r>
        <w:rPr>
          <w:rFonts w:hint="eastAsia"/>
        </w:rPr>
        <w:t>送系统、通风系统联锁，定期检查维护确保</w:t>
      </w:r>
      <w:r>
        <w:t>其有效</w:t>
      </w:r>
      <w:r>
        <w:rPr>
          <w:rFonts w:hint="eastAsia"/>
        </w:rPr>
        <w:t>；</w:t>
      </w:r>
    </w:p>
    <w:p w14:paraId="62D88DD4" w14:textId="77777777" w:rsidR="00CA5F4B" w:rsidRDefault="00CA5F4B" w:rsidP="00CA5F4B">
      <w:pPr>
        <w:pStyle w:val="af5"/>
      </w:pPr>
      <w:r>
        <w:rPr>
          <w:rFonts w:hint="eastAsia"/>
        </w:rPr>
        <w:t>剂料灌装机、插阀门机、封阀机、水浴槽、装喷头机和废次品收集柜应设置通风口，且满足AQ 3041的要</w:t>
      </w:r>
      <w:r>
        <w:t>求；</w:t>
      </w:r>
      <w:r>
        <w:rPr>
          <w:rFonts w:hint="eastAsia"/>
        </w:rPr>
        <w:t>保持设备壳体内部负压，防止爆炸性气体积聚；</w:t>
      </w:r>
    </w:p>
    <w:p w14:paraId="28C5F202" w14:textId="77777777" w:rsidR="00CA5F4B" w:rsidRDefault="00CA5F4B" w:rsidP="00CA5F4B">
      <w:pPr>
        <w:pStyle w:val="af5"/>
      </w:pPr>
      <w:r>
        <w:rPr>
          <w:rFonts w:hint="eastAsia"/>
        </w:rPr>
        <w:t>推进剂充填室、产品灌装机、插阀门机、封阀机、水浴槽、装喷头机（或装一体盖机）和次品收集柜内划分为</w:t>
      </w:r>
      <w:r>
        <w:t>1</w:t>
      </w:r>
      <w:r>
        <w:rPr>
          <w:rFonts w:hint="eastAsia"/>
        </w:rPr>
        <w:t>区。</w:t>
      </w:r>
    </w:p>
    <w:p w14:paraId="4CE1F118" w14:textId="77777777" w:rsidR="00CA5F4B" w:rsidRDefault="00CA5F4B" w:rsidP="00CA5F4B">
      <w:pPr>
        <w:pStyle w:val="afff2"/>
      </w:pPr>
      <w:r>
        <w:rPr>
          <w:rFonts w:hint="eastAsia"/>
        </w:rPr>
        <w:t>推进剂充填机壳体内在推进剂输送系统故障、强制通风失效等异常状况下可能划分为0区。</w:t>
      </w:r>
    </w:p>
    <w:p w14:paraId="12EB12AB" w14:textId="77777777" w:rsidR="00CA5F4B" w:rsidRDefault="00CA5F4B" w:rsidP="00CA5F4B">
      <w:pPr>
        <w:pStyle w:val="affffffffe"/>
      </w:pPr>
      <w:r>
        <w:rPr>
          <w:rFonts w:hint="eastAsia"/>
        </w:rPr>
        <w:t>气雾剂灌装线爆炸危险区域划分为</w:t>
      </w:r>
      <w:r>
        <w:t>2</w:t>
      </w:r>
      <w:r>
        <w:rPr>
          <w:rFonts w:hint="eastAsia"/>
        </w:rPr>
        <w:t>区</w:t>
      </w:r>
      <w:r>
        <w:t>的场所及</w:t>
      </w:r>
      <w:r>
        <w:rPr>
          <w:rFonts w:hint="eastAsia"/>
        </w:rPr>
        <w:t>要求：</w:t>
      </w:r>
    </w:p>
    <w:p w14:paraId="5F37E1A4" w14:textId="1FCE2195" w:rsidR="00CA5F4B" w:rsidRDefault="00CA5F4B" w:rsidP="00CA5F4B">
      <w:pPr>
        <w:pStyle w:val="af5"/>
        <w:numPr>
          <w:ilvl w:val="0"/>
          <w:numId w:val="38"/>
        </w:numPr>
      </w:pPr>
      <w:r>
        <w:rPr>
          <w:rFonts w:hint="eastAsia"/>
        </w:rPr>
        <w:t>剂料灌装机、插阀门机、封阀机、水浴槽、装喷头机（或装一体盖机）和废次品收集柜在距离外壳开口</w:t>
      </w:r>
      <w:bookmarkStart w:id="59" w:name="OLE_LINK43"/>
      <w:r w:rsidRPr="00CA5F4B">
        <w:rPr>
          <w:rFonts w:cs="宋体" w:hint="eastAsia"/>
          <w:spacing w:val="5"/>
          <w:kern w:val="21"/>
        </w:rPr>
        <w:t>1</w:t>
      </w:r>
      <w:r>
        <w:rPr>
          <w:rFonts w:hint="eastAsia"/>
        </w:rPr>
        <w:t>m</w:t>
      </w:r>
      <w:bookmarkEnd w:id="59"/>
      <w:r>
        <w:rPr>
          <w:rFonts w:hint="eastAsia"/>
        </w:rPr>
        <w:t>内设置可燃气体探测器并与灌装线联锁，定期检查维护确保</w:t>
      </w:r>
      <w:r>
        <w:t>其有效</w:t>
      </w:r>
      <w:r>
        <w:rPr>
          <w:rFonts w:hint="eastAsia"/>
        </w:rPr>
        <w:t>。在满足上述条件的情况下，外壳外距离</w:t>
      </w:r>
      <w:r w:rsidRPr="00CA5F4B">
        <w:rPr>
          <w:rFonts w:cs="宋体" w:hint="eastAsia"/>
          <w:spacing w:val="5"/>
          <w:kern w:val="21"/>
        </w:rPr>
        <w:t>1.5</w:t>
      </w:r>
      <w:r w:rsidR="00191A31">
        <w:rPr>
          <w:rFonts w:cs="宋体" w:hint="eastAsia"/>
          <w:spacing w:val="5"/>
          <w:kern w:val="21"/>
        </w:rPr>
        <w:t xml:space="preserve"> </w:t>
      </w:r>
      <w:r>
        <w:rPr>
          <w:rFonts w:hint="eastAsia"/>
        </w:rPr>
        <w:t>m范围内划分为</w:t>
      </w:r>
      <w:r>
        <w:t>2</w:t>
      </w:r>
      <w:r>
        <w:rPr>
          <w:rFonts w:hint="eastAsia"/>
        </w:rPr>
        <w:t>区；</w:t>
      </w:r>
    </w:p>
    <w:p w14:paraId="7DD84144" w14:textId="46BCC96D" w:rsidR="00CA5F4B" w:rsidRDefault="00CA5F4B" w:rsidP="00CA5F4B">
      <w:pPr>
        <w:pStyle w:val="af5"/>
      </w:pPr>
      <w:r>
        <w:rPr>
          <w:rFonts w:hint="eastAsia"/>
        </w:rPr>
        <w:t>重量检测台、加盖机外距离外壳开口</w:t>
      </w:r>
      <w:r>
        <w:rPr>
          <w:rFonts w:cs="宋体" w:hint="eastAsia"/>
          <w:spacing w:val="5"/>
          <w:kern w:val="21"/>
        </w:rPr>
        <w:t>1</w:t>
      </w:r>
      <w:r w:rsidR="00191A31">
        <w:rPr>
          <w:rFonts w:cs="宋体" w:hint="eastAsia"/>
          <w:spacing w:val="5"/>
          <w:kern w:val="21"/>
        </w:rPr>
        <w:t xml:space="preserve"> </w:t>
      </w:r>
      <w:r>
        <w:rPr>
          <w:rFonts w:hint="eastAsia"/>
        </w:rPr>
        <w:t>m内应设置可燃气体探测器并与灌装线联锁，定期检查护确保</w:t>
      </w:r>
      <w:r>
        <w:t>其有效</w:t>
      </w:r>
      <w:r>
        <w:rPr>
          <w:rFonts w:hint="eastAsia"/>
        </w:rPr>
        <w:t>。在满足上述条件的情况下，重量检测台、加盖机外</w:t>
      </w:r>
      <w:r>
        <w:rPr>
          <w:rFonts w:cs="宋体" w:hint="eastAsia"/>
          <w:spacing w:val="5"/>
          <w:kern w:val="21"/>
        </w:rPr>
        <w:t>1.5</w:t>
      </w:r>
      <w:r w:rsidR="00191A31">
        <w:rPr>
          <w:rFonts w:cs="宋体" w:hint="eastAsia"/>
          <w:spacing w:val="5"/>
          <w:kern w:val="21"/>
        </w:rPr>
        <w:t xml:space="preserve"> </w:t>
      </w:r>
      <w:r>
        <w:rPr>
          <w:rFonts w:hint="eastAsia"/>
        </w:rPr>
        <w:t>m范围内划分为</w:t>
      </w:r>
      <w:r>
        <w:t>2</w:t>
      </w:r>
      <w:r>
        <w:rPr>
          <w:rFonts w:hint="eastAsia"/>
        </w:rPr>
        <w:t>区；</w:t>
      </w:r>
    </w:p>
    <w:p w14:paraId="6C4CD519" w14:textId="559CB285" w:rsidR="00CA5F4B" w:rsidRDefault="00CA5F4B" w:rsidP="00CA5F4B">
      <w:pPr>
        <w:pStyle w:val="af5"/>
      </w:pPr>
      <w:r>
        <w:rPr>
          <w:rFonts w:hint="eastAsia"/>
        </w:rPr>
        <w:t>从易燃液体罐装到水浴测试槽之间的输送带以外</w:t>
      </w:r>
      <w:r>
        <w:rPr>
          <w:rFonts w:cs="宋体" w:hint="eastAsia"/>
          <w:spacing w:val="5"/>
          <w:kern w:val="21"/>
        </w:rPr>
        <w:t>1.5</w:t>
      </w:r>
      <w:r w:rsidR="00191A31">
        <w:rPr>
          <w:rFonts w:cs="宋体" w:hint="eastAsia"/>
          <w:spacing w:val="5"/>
          <w:kern w:val="21"/>
        </w:rPr>
        <w:t xml:space="preserve"> </w:t>
      </w:r>
      <w:r>
        <w:rPr>
          <w:rFonts w:hint="eastAsia"/>
        </w:rPr>
        <w:t>m范围内划分为</w:t>
      </w:r>
      <w:r>
        <w:t>2</w:t>
      </w:r>
      <w:r>
        <w:rPr>
          <w:rFonts w:hint="eastAsia"/>
        </w:rPr>
        <w:t>区。</w:t>
      </w:r>
    </w:p>
    <w:p w14:paraId="5A98029D" w14:textId="77777777" w:rsidR="00CA5F4B" w:rsidRDefault="00CA5F4B" w:rsidP="00CA5F4B">
      <w:pPr>
        <w:pStyle w:val="affffffffe"/>
      </w:pPr>
      <w:r>
        <w:rPr>
          <w:rFonts w:hint="eastAsia"/>
        </w:rPr>
        <w:t>经过水浴测试或其他测试措施检测合格的气雾剂，可以认为后包装工序中不会出现可燃气体的释放。纸箱包装或热收缩膜包装场所在距离外壳开口1 m内设置可燃气体探测器。纸箱包装或热收缩膜包装场所划为安全区域。</w:t>
      </w:r>
    </w:p>
    <w:p w14:paraId="14A9157B" w14:textId="2B1D1AFA" w:rsidR="00CA5F4B" w:rsidRDefault="00CA5F4B" w:rsidP="00CA5F4B">
      <w:pPr>
        <w:pStyle w:val="affffffffe"/>
      </w:pPr>
      <w:r>
        <w:rPr>
          <w:rFonts w:hint="eastAsia"/>
        </w:rPr>
        <w:t>根据GB/T 3836.1</w:t>
      </w:r>
      <w:r w:rsidR="00384F3D">
        <w:rPr>
          <w:rFonts w:hint="eastAsia"/>
        </w:rPr>
        <w:t>4</w:t>
      </w:r>
      <w:r>
        <w:rPr>
          <w:rFonts w:hint="eastAsia"/>
        </w:rPr>
        <w:t>和</w:t>
      </w:r>
      <w:r w:rsidRPr="00430651">
        <w:t>GB 50058</w:t>
      </w:r>
      <w:r>
        <w:rPr>
          <w:rFonts w:hint="eastAsia"/>
        </w:rPr>
        <w:t>开展爆炸危险区域划分，气雾剂生产企业爆炸危险区域典型工序环节爆炸危险区域划分见附录B。</w:t>
      </w:r>
    </w:p>
    <w:p w14:paraId="1F479D1E" w14:textId="77777777" w:rsidR="00AE1E73" w:rsidRDefault="00AE1E73" w:rsidP="00AE1E73">
      <w:pPr>
        <w:pStyle w:val="affc"/>
        <w:spacing w:before="312" w:after="312"/>
      </w:pPr>
      <w:bookmarkStart w:id="60" w:name="_Toc183683215"/>
      <w:bookmarkStart w:id="61" w:name="_Toc19888"/>
      <w:bookmarkStart w:id="62" w:name="_Toc217917254"/>
      <w:r>
        <w:rPr>
          <w:rFonts w:hint="eastAsia"/>
        </w:rPr>
        <w:t>自动化改造要点</w:t>
      </w:r>
      <w:bookmarkEnd w:id="60"/>
      <w:bookmarkEnd w:id="61"/>
      <w:bookmarkEnd w:id="62"/>
    </w:p>
    <w:p w14:paraId="19634232" w14:textId="77777777" w:rsidR="00AE1E73" w:rsidRDefault="00AE1E73" w:rsidP="00AE1E73">
      <w:pPr>
        <w:pStyle w:val="affd"/>
        <w:spacing w:before="156" w:after="156"/>
      </w:pPr>
      <w:bookmarkStart w:id="63" w:name="_Toc183683216"/>
      <w:bookmarkStart w:id="64" w:name="_Toc448326524"/>
      <w:bookmarkStart w:id="65" w:name="_Toc22316"/>
      <w:bookmarkStart w:id="66" w:name="_Toc217917255"/>
      <w:r>
        <w:rPr>
          <w:rFonts w:hint="eastAsia"/>
        </w:rPr>
        <w:t>总则</w:t>
      </w:r>
      <w:bookmarkEnd w:id="63"/>
      <w:bookmarkEnd w:id="64"/>
      <w:bookmarkEnd w:id="65"/>
      <w:bookmarkEnd w:id="66"/>
    </w:p>
    <w:p w14:paraId="0FEF37C8" w14:textId="77777777" w:rsidR="00AE1E73" w:rsidRDefault="00AE1E73" w:rsidP="00AE1E73">
      <w:pPr>
        <w:pStyle w:val="afffffffff1"/>
      </w:pPr>
      <w:r>
        <w:rPr>
          <w:rFonts w:hint="eastAsia"/>
        </w:rPr>
        <w:t>气雾剂生产自动化设备宜设置状态信号灯，显示自动化设备的运行状态，自动化设备宜在合适区域设置紧急停车按钮，具备急停功能和防误动作功能。</w:t>
      </w:r>
    </w:p>
    <w:p w14:paraId="673BAF4C" w14:textId="77777777" w:rsidR="00AE1E73" w:rsidRDefault="00AE1E73" w:rsidP="00AE1E73">
      <w:pPr>
        <w:pStyle w:val="afffffffff1"/>
      </w:pPr>
      <w:r>
        <w:rPr>
          <w:rFonts w:hint="eastAsia"/>
        </w:rPr>
        <w:t>存在可燃气体或液体蒸气释放的工艺设备宜隔离释放源并进行有效通风，采用透明件隔离时宜采用破裂后仍安全的透明件，通风量能有效降低隔离区域内可燃气体或液体蒸气的浓度不超过爆炸下限（LEL）的20%。</w:t>
      </w:r>
    </w:p>
    <w:p w14:paraId="77C0E6EC" w14:textId="77777777" w:rsidR="00AE1E73" w:rsidRDefault="00AE1E73" w:rsidP="00AE1E73">
      <w:pPr>
        <w:pStyle w:val="afffffffff1"/>
      </w:pPr>
      <w:r>
        <w:rPr>
          <w:rFonts w:hint="eastAsia"/>
        </w:rPr>
        <w:t>存在可燃气体或液体蒸气释放的工艺或设备，根据GB/T 50493的要求装设可燃气体探头。</w:t>
      </w:r>
    </w:p>
    <w:p w14:paraId="6881841C" w14:textId="77777777" w:rsidR="00AE1E73" w:rsidRDefault="00AE1E73" w:rsidP="00AE1E73">
      <w:pPr>
        <w:pStyle w:val="affd"/>
        <w:spacing w:before="156" w:after="156"/>
      </w:pPr>
      <w:bookmarkStart w:id="67" w:name="_Toc15897"/>
      <w:bookmarkStart w:id="68" w:name="_Toc183683217"/>
      <w:bookmarkStart w:id="69" w:name="_Toc217917256"/>
      <w:r>
        <w:rPr>
          <w:rFonts w:hint="eastAsia"/>
        </w:rPr>
        <w:t>工艺设备控制要点</w:t>
      </w:r>
      <w:bookmarkEnd w:id="67"/>
      <w:bookmarkEnd w:id="68"/>
      <w:bookmarkEnd w:id="69"/>
    </w:p>
    <w:p w14:paraId="4BB62433" w14:textId="77777777" w:rsidR="00AE1E73" w:rsidRDefault="00AE1E73" w:rsidP="00AE1E73">
      <w:pPr>
        <w:pStyle w:val="affe"/>
        <w:spacing w:before="156" w:after="156"/>
      </w:pPr>
      <w:r>
        <w:rPr>
          <w:rFonts w:hint="eastAsia"/>
        </w:rPr>
        <w:t>放罐理罐工艺单元</w:t>
      </w:r>
    </w:p>
    <w:p w14:paraId="2597A64D" w14:textId="77777777" w:rsidR="00AE1E73" w:rsidRDefault="00AE1E73" w:rsidP="00AE1E73">
      <w:pPr>
        <w:pStyle w:val="afffffffff0"/>
      </w:pPr>
      <w:r>
        <w:rPr>
          <w:rFonts w:hint="eastAsia"/>
        </w:rPr>
        <w:t>具备自动连续放（上）罐、理罐功能的自动化生产线，待上罐气雾罐罐组放入指定区域后，宜具备罐组位置定位措施确保罐组放置到位，并采用声光提醒措施。</w:t>
      </w:r>
    </w:p>
    <w:p w14:paraId="45D38F6B" w14:textId="77777777" w:rsidR="00AE1E73" w:rsidRDefault="00AE1E73" w:rsidP="00AE1E73">
      <w:pPr>
        <w:pStyle w:val="afffffffff0"/>
      </w:pPr>
      <w:r>
        <w:rPr>
          <w:rFonts w:hint="eastAsia"/>
        </w:rPr>
        <w:t>自动放（上）罐能自动识别和去除灌组罐层间隔垫（板），放（上）罐机械臂根据理罐区域状态抓取气雾罐（组）、放置气雾罐（组）到理罐区域，并具备防倒灌措施。</w:t>
      </w:r>
    </w:p>
    <w:p w14:paraId="6031E598" w14:textId="77777777" w:rsidR="00AE1E73" w:rsidRDefault="00AE1E73" w:rsidP="00AE1E73">
      <w:pPr>
        <w:pStyle w:val="afffffffff0"/>
      </w:pPr>
      <w:r>
        <w:rPr>
          <w:rFonts w:hint="eastAsia"/>
        </w:rPr>
        <w:t>自动整理气雾罐进入灌装线动力输送轨道，对输送轨道上气雾罐的状态进行监测，防止倒罐进入动力输送轨道。</w:t>
      </w:r>
    </w:p>
    <w:p w14:paraId="705E3A95" w14:textId="77777777" w:rsidR="00AE1E73" w:rsidRDefault="00AE1E73" w:rsidP="00AE1E73">
      <w:pPr>
        <w:pStyle w:val="affe"/>
        <w:spacing w:before="156" w:after="156"/>
      </w:pPr>
      <w:r>
        <w:rPr>
          <w:rFonts w:hint="eastAsia"/>
        </w:rPr>
        <w:t>内容物灌装工艺单元</w:t>
      </w:r>
    </w:p>
    <w:p w14:paraId="69FA58FE" w14:textId="77777777" w:rsidR="00AE1E73" w:rsidRDefault="00AE1E73" w:rsidP="00AE1E73">
      <w:pPr>
        <w:pStyle w:val="afffffffff0"/>
      </w:pPr>
      <w:r>
        <w:rPr>
          <w:rFonts w:hint="eastAsia"/>
        </w:rPr>
        <w:t>自动化生产线能实现放珠、剂料灌装、灌装量检测、气雾阀放置、封阀、充填推进剂等功能。</w:t>
      </w:r>
    </w:p>
    <w:p w14:paraId="4434F3A5" w14:textId="77777777" w:rsidR="00AE1E73" w:rsidRDefault="00AE1E73" w:rsidP="00AE1E73">
      <w:pPr>
        <w:pStyle w:val="afffffffff0"/>
      </w:pPr>
      <w:r>
        <w:rPr>
          <w:rFonts w:hint="eastAsia"/>
        </w:rPr>
        <w:t>剂料灌装、灌装量检测、气雾阀放置、封阀、充填推进剂的动力源宜优先采用压缩空气，宜根据爆炸危险区域类型、灌装内容物的类别、级别、组别选择整体防爆的设备，并确定防爆设备的安装方案；对推进剂充填设备，防爆性能不低于Ex IIB T4 Gb。</w:t>
      </w:r>
    </w:p>
    <w:p w14:paraId="3E73E5F2" w14:textId="77777777" w:rsidR="00AE1E73" w:rsidRDefault="00AE1E73" w:rsidP="00AE1E73">
      <w:pPr>
        <w:pStyle w:val="afffffffff0"/>
      </w:pPr>
      <w:r>
        <w:rPr>
          <w:rFonts w:hint="eastAsia"/>
        </w:rPr>
        <w:t>宜将灌装量检测、气雾阀放置、封阀工序集成到剂料灌装工序，灌装量检测宜通过设置物料重量(或体积)计量装置进行控制,由灌装嘴出料将物料灌装到气雾罐内,当达到重量(或体积)设定值时,灌装嘴停止加料。</w:t>
      </w:r>
    </w:p>
    <w:p w14:paraId="7F49490E" w14:textId="77777777" w:rsidR="00AE1E73" w:rsidRDefault="00AE1E73" w:rsidP="00AE1E73">
      <w:pPr>
        <w:pStyle w:val="afffffffff0"/>
      </w:pPr>
      <w:r>
        <w:rPr>
          <w:rFonts w:hint="eastAsia"/>
        </w:rPr>
        <w:t>灌装/充填区域宜相对隔离，宜设置抽风排气管道连续排除灌装区域中可燃气体或液体蒸气，排气口宜设置在灌装/充填区域的最低位置处；排气量能保证灌装/充填区域内可燃气体或液体蒸气浓度不超过爆炸下限（LEL）的20%，灌装/充填区域宜保持负压。</w:t>
      </w:r>
    </w:p>
    <w:p w14:paraId="39849D9D" w14:textId="77777777" w:rsidR="00AE1E73" w:rsidRDefault="00AE1E73" w:rsidP="00AE1E73">
      <w:pPr>
        <w:pStyle w:val="afffffffff0"/>
      </w:pPr>
      <w:r>
        <w:rPr>
          <w:rFonts w:hint="eastAsia"/>
        </w:rPr>
        <w:t>灌装区域在输送轨道进出口外部适当位置处宜设置可燃气体探头，可燃气体探头能有效监测环境中可燃气体或液体蒸气的浓度，并与工艺设备保持联锁，当可燃气体浓度达到20%LEL时，启动声光报警功能，当可燃气体浓度达到40%LEL时，生产线工艺设备停止运行并自动停止灌装。</w:t>
      </w:r>
    </w:p>
    <w:p w14:paraId="2F9F6FDF" w14:textId="77777777" w:rsidR="00AE1E73" w:rsidRDefault="00AE1E73" w:rsidP="00AE1E73">
      <w:pPr>
        <w:pStyle w:val="afffffffff0"/>
      </w:pPr>
      <w:r>
        <w:rPr>
          <w:rFonts w:hint="eastAsia"/>
        </w:rPr>
        <w:t>推进剂充填宜置于充填室内，充填室宜位于灌装车间建筑物外、结构独立、与灌装车间分隔开，不推荐使用“房中房”的车间C方案。充填室设置具体方案见附录C。</w:t>
      </w:r>
    </w:p>
    <w:p w14:paraId="12937DB4" w14:textId="77777777" w:rsidR="00AE1E73" w:rsidRDefault="00AE1E73" w:rsidP="00AE1E73">
      <w:pPr>
        <w:pStyle w:val="afffffffff0"/>
      </w:pPr>
      <w:r>
        <w:rPr>
          <w:rFonts w:hint="eastAsia"/>
        </w:rPr>
        <w:t>充填室内和推进剂充填机充填区域内宜分别设置抽气通风口和可燃气体探头，启动充气设备、打开推进剂输送管道阀门之前，宜先启动通风系统，关闭充气设备和推进剂输送管道阀门后通风系统宜继续运行一段时间；通风系统宜安装通风系统故障报警装置，与推进剂供应系统和充填机联锁，通风系统发生故障后宜自动停止推进剂的供应和充填机运行。</w:t>
      </w:r>
    </w:p>
    <w:p w14:paraId="3F4A2501" w14:textId="77777777" w:rsidR="00AE1E73" w:rsidRDefault="00AE1E73" w:rsidP="00AE1E73">
      <w:pPr>
        <w:pStyle w:val="afffffffff0"/>
      </w:pPr>
      <w:r>
        <w:rPr>
          <w:rFonts w:hint="eastAsia"/>
        </w:rPr>
        <w:t>推进剂充填机充填区域内，通风系统换气次数不少于50次/h。充填室内可燃气体的浓度介于0～20%LEL，充填室内换气次数至少为5次/h；当可燃气体浓度达到20%LEL，声光报警启动；当可燃气体浓度达到40%LEL以上，通风系统和次级通风系统以最高速率运行，生产线停止运行并自动关闭推进剂的供应。</w:t>
      </w:r>
    </w:p>
    <w:p w14:paraId="1A7A5D33" w14:textId="77777777" w:rsidR="00AE1E73" w:rsidRDefault="00AE1E73" w:rsidP="00AE1E73">
      <w:pPr>
        <w:pStyle w:val="afffffffff0"/>
      </w:pPr>
      <w:r>
        <w:rPr>
          <w:rFonts w:hint="eastAsia"/>
        </w:rPr>
        <w:t>推进剂充填机宜具备充填室开门报警停机功能，开启充填室门15 s后报警，30 s后充填机自动停机。</w:t>
      </w:r>
    </w:p>
    <w:p w14:paraId="2BE599F9" w14:textId="77777777" w:rsidR="00643400" w:rsidRDefault="00643400" w:rsidP="00643400">
      <w:pPr>
        <w:pStyle w:val="affe"/>
        <w:spacing w:before="156" w:after="156"/>
      </w:pPr>
      <w:r>
        <w:rPr>
          <w:rFonts w:hint="eastAsia"/>
        </w:rPr>
        <w:t>检验检测工艺单元</w:t>
      </w:r>
    </w:p>
    <w:p w14:paraId="2250B901" w14:textId="77777777" w:rsidR="00643400" w:rsidRPr="00643400" w:rsidRDefault="00643400" w:rsidP="00643400">
      <w:pPr>
        <w:pStyle w:val="afffffffff0"/>
      </w:pPr>
      <w:r w:rsidRPr="00643400">
        <w:rPr>
          <w:rFonts w:hint="eastAsia"/>
        </w:rPr>
        <w:t>宜具备连续开展气雾罐重量检测和气雾罐泄漏水浴检测功能，可自动剔除不满足要求的气雾罐。故障罐放置区宜设置可燃气体探头和抽气排风口，能探测试验区域可燃气体浓度最大值，根据气体浓度警报或停机。</w:t>
      </w:r>
    </w:p>
    <w:p w14:paraId="0DD62326" w14:textId="77777777" w:rsidR="00643400" w:rsidRPr="00643400" w:rsidRDefault="00643400" w:rsidP="00643400">
      <w:pPr>
        <w:pStyle w:val="afffffffff0"/>
      </w:pPr>
      <w:r w:rsidRPr="00643400">
        <w:rPr>
          <w:rFonts w:hint="eastAsia"/>
        </w:rPr>
        <w:t>水浴检测宜能保持恒温水槽水温均匀，能根据气雾剂产品具体情况进行设定，并具备连续排水功能，故障情况下可及时排除试验水槽中的液体。除水浴检测以外的其他检测措施，应能达到水浴检测同样的故障发现率。</w:t>
      </w:r>
    </w:p>
    <w:p w14:paraId="6B0F1CBA" w14:textId="77777777" w:rsidR="00643400" w:rsidRPr="00643400" w:rsidRDefault="00643400" w:rsidP="00643400">
      <w:pPr>
        <w:pStyle w:val="afffffffff0"/>
      </w:pPr>
      <w:r w:rsidRPr="00643400">
        <w:rPr>
          <w:rFonts w:hint="eastAsia"/>
        </w:rPr>
        <w:t>如检验检测工艺单元采用水浴检测工序，水浴检测宜采用具备气雾罐泄漏气泡自动识别功能的措施，可自动剔除故障气雾罐。</w:t>
      </w:r>
    </w:p>
    <w:p w14:paraId="3DCE070D" w14:textId="77777777" w:rsidR="00643400" w:rsidRPr="00643400" w:rsidRDefault="00643400" w:rsidP="00643400">
      <w:pPr>
        <w:pStyle w:val="afffffffff0"/>
      </w:pPr>
      <w:r w:rsidRPr="00643400">
        <w:rPr>
          <w:rFonts w:hint="eastAsia"/>
        </w:rPr>
        <w:t>水浴检测水槽试验区域与外部环境相对隔离，试验区域设置抽气排风口，能连续排除试验区域泄漏产生的可燃气体。</w:t>
      </w:r>
    </w:p>
    <w:p w14:paraId="23F164C0" w14:textId="77777777" w:rsidR="00643400" w:rsidRDefault="00643400" w:rsidP="00643400">
      <w:pPr>
        <w:pStyle w:val="afffffffff0"/>
        <w:spacing w:after="160" w:line="278" w:lineRule="auto"/>
      </w:pPr>
      <w:r>
        <w:rPr>
          <w:rFonts w:hint="eastAsia"/>
        </w:rPr>
        <w:t>水浴检测装备防爆性能不低于Ex IIB T4 Gb；气雾罐重量检测装备防爆性能不低于Ex IIB T4 Gc。</w:t>
      </w:r>
    </w:p>
    <w:p w14:paraId="754C2448" w14:textId="77777777" w:rsidR="00643400" w:rsidRDefault="00643400" w:rsidP="00643400">
      <w:pPr>
        <w:pStyle w:val="affe"/>
        <w:spacing w:before="156" w:after="156"/>
      </w:pPr>
      <w:r>
        <w:rPr>
          <w:rFonts w:hint="eastAsia"/>
        </w:rPr>
        <w:t>附件装配工艺单元</w:t>
      </w:r>
    </w:p>
    <w:p w14:paraId="0518E747" w14:textId="77777777" w:rsidR="00643400" w:rsidRDefault="00643400" w:rsidP="00643400">
      <w:pPr>
        <w:pStyle w:val="afffffffff0"/>
      </w:pPr>
      <w:r>
        <w:rPr>
          <w:rFonts w:hint="eastAsia"/>
        </w:rPr>
        <w:t>能连续实现促动器安装、</w:t>
      </w:r>
      <w:r w:rsidRPr="00D52479">
        <w:rPr>
          <w:rFonts w:hint="eastAsia"/>
        </w:rPr>
        <w:t>保护盖安装</w:t>
      </w:r>
      <w:r>
        <w:rPr>
          <w:rFonts w:hint="eastAsia"/>
        </w:rPr>
        <w:t>、贴管、喷码、贴标等功能。</w:t>
      </w:r>
    </w:p>
    <w:p w14:paraId="276D51DB" w14:textId="77777777" w:rsidR="00643400" w:rsidRDefault="00643400" w:rsidP="00643400">
      <w:pPr>
        <w:pStyle w:val="afffffffff0"/>
      </w:pPr>
      <w:r>
        <w:rPr>
          <w:rFonts w:hint="eastAsia"/>
        </w:rPr>
        <w:t>喷头装配区域宜与外部环境相对隔离，喷头装配区域宜设置抽气排风口，连续排除喷头装配中喷出的内容物；喷头装配区域宜设置可燃气体探头，能探测试验区域可燃气体浓度最大值，并与喷头装配机和通风系统连锁，根据气体浓度警报或停机。</w:t>
      </w:r>
    </w:p>
    <w:p w14:paraId="27EA07D7" w14:textId="77777777" w:rsidR="00643400" w:rsidRDefault="00643400" w:rsidP="00643400">
      <w:pPr>
        <w:pStyle w:val="afffffffff0"/>
      </w:pPr>
      <w:r>
        <w:rPr>
          <w:rFonts w:hint="eastAsia"/>
        </w:rPr>
        <w:t>喷头装配爆炸危险区域设备防爆性能不低于Ex IIB T4 Gb。使用易燃性油墨的喷码机，宜根据爆炸危险区域类型和油墨的类别、级别、组别确定喷码机的防爆性能要求，并选择防爆设备。</w:t>
      </w:r>
    </w:p>
    <w:p w14:paraId="583B8F4E" w14:textId="77777777" w:rsidR="00643400" w:rsidRDefault="00643400" w:rsidP="00643400">
      <w:pPr>
        <w:pStyle w:val="afffffffff0"/>
      </w:pPr>
      <w:r>
        <w:rPr>
          <w:rFonts w:hint="eastAsia"/>
        </w:rPr>
        <w:t>贴管、贴标装备可精确定位贴管、贴标位置，自动消除贴管、贴标过程中产生的静电，贴管、贴标过程中不宜对气雾剂产品造成损坏。</w:t>
      </w:r>
    </w:p>
    <w:p w14:paraId="758EAE45" w14:textId="77777777" w:rsidR="00643400" w:rsidRDefault="00643400" w:rsidP="00643400">
      <w:pPr>
        <w:pStyle w:val="affe"/>
        <w:spacing w:before="156" w:after="156"/>
      </w:pPr>
      <w:r>
        <w:rPr>
          <w:rFonts w:hint="eastAsia"/>
        </w:rPr>
        <w:t>成品包装工艺单元</w:t>
      </w:r>
    </w:p>
    <w:p w14:paraId="7DC07E21" w14:textId="77777777" w:rsidR="00643400" w:rsidRDefault="00643400" w:rsidP="00643400">
      <w:pPr>
        <w:pStyle w:val="afffffffff0"/>
      </w:pPr>
      <w:r>
        <w:rPr>
          <w:rFonts w:hint="eastAsia"/>
        </w:rPr>
        <w:t>使用热收缩膜包装工艺能自行将气雾剂产品摆放成包装所需规格，自动连续完成包装。</w:t>
      </w:r>
    </w:p>
    <w:p w14:paraId="5CB3BBF0" w14:textId="77777777" w:rsidR="00643400" w:rsidRDefault="00643400" w:rsidP="00643400">
      <w:pPr>
        <w:pStyle w:val="afffffffff0"/>
      </w:pPr>
      <w:r>
        <w:rPr>
          <w:rFonts w:hint="eastAsia"/>
        </w:rPr>
        <w:t>热收缩膜包装装备宜能自动检测包装巷道温度，将包装巷道温度限定在设定值以下，并设置超温报警；宜设置可燃气体探头，对包装巷道内可燃气体浓度进行监测，根据气体浓度值进行警报或停机；宜设置巷道通风设施，与可燃气体探测器联锁，巷道可燃气体浓度超过设定值时启动通风排气功能；宜设置火灾探测与灭火系统，包装巷道一旦出现火灾能及时报警、停机、灭火。</w:t>
      </w:r>
    </w:p>
    <w:p w14:paraId="763DBB14" w14:textId="77777777" w:rsidR="00643400" w:rsidRDefault="00643400" w:rsidP="00643400">
      <w:pPr>
        <w:pStyle w:val="afffffffff0"/>
      </w:pPr>
      <w:r>
        <w:rPr>
          <w:rFonts w:hint="eastAsia"/>
        </w:rPr>
        <w:t>热收缩膜包装装备宜具有进出料探测功能，气雾剂产品进入包装巷道后超过设定时间未离开巷道，自动停止机器并强制排除巷道内气雾剂产品，气雾剂产品不得在包装巷道内长时间拥堵和加热。</w:t>
      </w:r>
    </w:p>
    <w:p w14:paraId="393EE6C0" w14:textId="77777777" w:rsidR="00643400" w:rsidRDefault="00643400" w:rsidP="00643400">
      <w:pPr>
        <w:pStyle w:val="afffffffff0"/>
      </w:pPr>
      <w:r>
        <w:rPr>
          <w:rFonts w:hint="eastAsia"/>
        </w:rPr>
        <w:t>热收缩膜包装宜采用防静电热收缩膜，并具备静电消除或导静电措施，能有效消除包装膜及包装过程中产生的静电。</w:t>
      </w:r>
    </w:p>
    <w:p w14:paraId="3D273096" w14:textId="77777777" w:rsidR="00643400" w:rsidRDefault="00643400" w:rsidP="00643400">
      <w:pPr>
        <w:pStyle w:val="afffffffff0"/>
      </w:pPr>
      <w:r>
        <w:rPr>
          <w:rFonts w:hint="eastAsia"/>
        </w:rPr>
        <w:t>使用纸箱包装的工艺，宜具备连续依次进行纸箱开箱、装箱、装隔板、封箱、码垛功能。</w:t>
      </w:r>
    </w:p>
    <w:p w14:paraId="237FC65B" w14:textId="77777777" w:rsidR="00643400" w:rsidRDefault="00643400" w:rsidP="00643400">
      <w:pPr>
        <w:pStyle w:val="afffffffff0"/>
      </w:pPr>
      <w:r>
        <w:rPr>
          <w:rFonts w:hint="eastAsia"/>
        </w:rPr>
        <w:t>使用纸箱包装时，装箱宜能自行将气雾剂产品摆放成包装所需规格，装箱、装隔板、封箱、码垛过程中具备防止刺破气雾罐的措施。</w:t>
      </w:r>
    </w:p>
    <w:p w14:paraId="77E95F0E" w14:textId="77777777" w:rsidR="00643400" w:rsidRDefault="00643400" w:rsidP="00643400">
      <w:pPr>
        <w:pStyle w:val="afffffffff0"/>
      </w:pPr>
      <w:r>
        <w:rPr>
          <w:rFonts w:hint="eastAsia"/>
        </w:rPr>
        <w:t>使用纸箱包装时，宜设置可燃气体探头，对工作区域可燃气体浓度进行监测，并与包装机械联锁，根据气体浓度设定值进行警报或停机；宜设置火灾探测与灭火系统，包装码垛过程中一旦出现火灾能及时报警、停机、灭火。</w:t>
      </w:r>
    </w:p>
    <w:p w14:paraId="4EF09FA9" w14:textId="77777777" w:rsidR="00643400" w:rsidRDefault="00643400" w:rsidP="00643400">
      <w:pPr>
        <w:pStyle w:val="afffffffff0"/>
      </w:pPr>
      <w:r>
        <w:rPr>
          <w:rFonts w:hint="eastAsia"/>
        </w:rPr>
        <w:t>包装机械或包装码垛机械位于爆炸危险区域时，宜按照爆炸危险区域的类型化和爆炸性混合物的类别、级别、组别确定防爆设备的防爆性能，不低于Ex IIB T4 Gc。</w:t>
      </w:r>
    </w:p>
    <w:p w14:paraId="1C0B77C7" w14:textId="77777777" w:rsidR="00643400" w:rsidRDefault="00643400" w:rsidP="00643400">
      <w:pPr>
        <w:pStyle w:val="affd"/>
        <w:spacing w:before="156" w:after="156"/>
      </w:pPr>
      <w:bookmarkStart w:id="70" w:name="_Toc5154"/>
      <w:bookmarkStart w:id="71" w:name="_Toc183683218"/>
      <w:bookmarkStart w:id="72" w:name="_Toc217917257"/>
      <w:r>
        <w:rPr>
          <w:rFonts w:hint="eastAsia"/>
        </w:rPr>
        <w:t>安全监控系统设置要点</w:t>
      </w:r>
      <w:bookmarkEnd w:id="70"/>
      <w:bookmarkEnd w:id="71"/>
      <w:bookmarkEnd w:id="72"/>
    </w:p>
    <w:p w14:paraId="7EFEC530" w14:textId="77777777" w:rsidR="00643400" w:rsidRPr="00643400" w:rsidRDefault="00643400" w:rsidP="00643400">
      <w:pPr>
        <w:pStyle w:val="afffffffff1"/>
      </w:pPr>
      <w:r w:rsidRPr="00643400">
        <w:rPr>
          <w:rFonts w:hint="eastAsia"/>
        </w:rPr>
        <w:t>气雾剂生产车间宜配备安全监控系统，系统宜在车间控制室或消防控制室设置监控终端，并预留有政府端数据传输接口，气雾剂生产过程中相关安全参数、可燃气体浓度和通风设施状态参数宜接入监控系统。</w:t>
      </w:r>
    </w:p>
    <w:p w14:paraId="0EDFAF9D" w14:textId="77777777" w:rsidR="00643400" w:rsidRPr="00643400" w:rsidRDefault="00643400" w:rsidP="00643400">
      <w:pPr>
        <w:pStyle w:val="afffffffff1"/>
      </w:pPr>
      <w:r w:rsidRPr="00643400">
        <w:rPr>
          <w:rFonts w:hint="eastAsia"/>
        </w:rPr>
        <w:t>充填室宜设置监控视频，人员进入充填室后视频监控发出报警信号，人员在充填室内超过设定时间后视频监控发出推进剂充填机停机信号，充填机接收到停机信号后能可靠停机。</w:t>
      </w:r>
    </w:p>
    <w:p w14:paraId="3660C02D" w14:textId="77777777" w:rsidR="00643400" w:rsidRPr="00643400" w:rsidRDefault="00643400" w:rsidP="00643400">
      <w:pPr>
        <w:pStyle w:val="afffffffff1"/>
      </w:pPr>
      <w:r w:rsidRPr="00643400">
        <w:rPr>
          <w:rFonts w:hint="eastAsia"/>
        </w:rPr>
        <w:t>气雾剂生产企业应建立健全安全风险数字化管控措施，设置远程监控系统和人员管控系统，控制进入爆炸危险区域的人员数量，实现人员定位、人员窜岗、人员集聚报警等功能。</w:t>
      </w:r>
    </w:p>
    <w:p w14:paraId="16EB315A" w14:textId="5792B3D8" w:rsidR="00643400" w:rsidRDefault="00BE640A" w:rsidP="00643400">
      <w:pPr>
        <w:pStyle w:val="affc"/>
        <w:spacing w:before="312" w:after="312"/>
      </w:pPr>
      <w:bookmarkStart w:id="73" w:name="_Toc29387"/>
      <w:bookmarkStart w:id="74" w:name="_Toc183683219"/>
      <w:bookmarkStart w:id="75" w:name="_Toc217917258"/>
      <w:r>
        <w:rPr>
          <w:rFonts w:hint="eastAsia"/>
        </w:rPr>
        <w:t>自动化改造</w:t>
      </w:r>
      <w:r w:rsidR="00643400">
        <w:rPr>
          <w:rFonts w:hint="eastAsia"/>
        </w:rPr>
        <w:t>检验</w:t>
      </w:r>
      <w:bookmarkEnd w:id="73"/>
      <w:bookmarkEnd w:id="74"/>
      <w:bookmarkEnd w:id="75"/>
    </w:p>
    <w:p w14:paraId="57D10D34" w14:textId="0CE10567" w:rsidR="00643400" w:rsidRDefault="00643400" w:rsidP="00643400">
      <w:pPr>
        <w:pStyle w:val="affffffffe"/>
      </w:pPr>
      <w:r>
        <w:rPr>
          <w:rFonts w:hint="eastAsia"/>
        </w:rPr>
        <w:t>自动化改造完成后投入运行前，宜对爆炸性危险场所电气设备设施进行初始检验；投入使用后，宜对爆炸危险场所电气设备设施进行连续检查与维护和定期检验。</w:t>
      </w:r>
    </w:p>
    <w:p w14:paraId="09F476FC" w14:textId="77777777" w:rsidR="00643400" w:rsidRDefault="00643400" w:rsidP="00643400">
      <w:pPr>
        <w:pStyle w:val="affffffffe"/>
      </w:pPr>
      <w:r>
        <w:rPr>
          <w:rFonts w:hint="eastAsia"/>
        </w:rPr>
        <w:t>初始检验和定期检验宜委托第三方具有相关专业资质的机构进行，必要时企业宜根据检验结果及时采取整改措施。连续检查与维护由企业的专业人员按要求进行，并作好相应的检查与维护记录，发现的异常现象应及时处理。</w:t>
      </w:r>
    </w:p>
    <w:p w14:paraId="174BB0FC" w14:textId="0358E253" w:rsidR="00CD561D" w:rsidRDefault="00643400" w:rsidP="000D4064">
      <w:pPr>
        <w:pStyle w:val="affffffffe"/>
      </w:pPr>
      <w:r>
        <w:rPr>
          <w:rFonts w:hint="eastAsia"/>
        </w:rPr>
        <w:t>企业连续检查与维护的项目至少包括自动化装置的防爆性能及相关附属安全设施的有效性，例如可燃气体探测报警系统、负压通风系统、视频监控系统等。</w:t>
      </w:r>
    </w:p>
    <w:p w14:paraId="752E2C13" w14:textId="77777777" w:rsidR="00C81300" w:rsidRDefault="00C81300" w:rsidP="00CD561D">
      <w:pPr>
        <w:pStyle w:val="affffb"/>
        <w:ind w:firstLine="420"/>
        <w:sectPr w:rsidR="00C81300" w:rsidSect="00CD561D">
          <w:pgSz w:w="11906" w:h="16838" w:code="9"/>
          <w:pgMar w:top="1928" w:right="1134" w:bottom="1134" w:left="1134" w:header="1418" w:footer="1134" w:gutter="284"/>
          <w:pgNumType w:start="1"/>
          <w:cols w:space="425"/>
          <w:formProt w:val="0"/>
          <w:docGrid w:type="lines" w:linePitch="312"/>
        </w:sectPr>
      </w:pPr>
    </w:p>
    <w:p w14:paraId="1651F2F4" w14:textId="77777777" w:rsidR="00C81300" w:rsidRDefault="00C81300" w:rsidP="00C81300">
      <w:pPr>
        <w:pStyle w:val="af8"/>
      </w:pPr>
      <w:bookmarkStart w:id="76" w:name="BookMark5"/>
      <w:bookmarkEnd w:id="26"/>
    </w:p>
    <w:p w14:paraId="548BB657" w14:textId="77777777" w:rsidR="00C81300" w:rsidRDefault="00C81300" w:rsidP="00C81300">
      <w:pPr>
        <w:pStyle w:val="afe"/>
      </w:pPr>
    </w:p>
    <w:p w14:paraId="7AFCCDFA" w14:textId="3FE66F6E" w:rsidR="00C81300" w:rsidRDefault="00C81300" w:rsidP="00C81300">
      <w:pPr>
        <w:pStyle w:val="aff3"/>
        <w:spacing w:after="156"/>
      </w:pPr>
      <w:r>
        <w:br/>
      </w:r>
      <w:bookmarkStart w:id="77" w:name="_Toc217917259"/>
      <w:r>
        <w:rPr>
          <w:rFonts w:hint="eastAsia"/>
        </w:rPr>
        <w:t>（规范性）</w:t>
      </w:r>
      <w:r>
        <w:br/>
      </w:r>
      <w:r>
        <w:rPr>
          <w:rFonts w:hint="eastAsia"/>
        </w:rPr>
        <w:t>气雾剂生产工序流程图</w:t>
      </w:r>
      <w:bookmarkEnd w:id="77"/>
    </w:p>
    <w:p w14:paraId="7700CEAD" w14:textId="648B880C" w:rsidR="00AF133D" w:rsidRDefault="00AF133D" w:rsidP="00AF133D">
      <w:pPr>
        <w:pStyle w:val="affffb"/>
        <w:ind w:firstLine="420"/>
      </w:pPr>
      <w:r>
        <w:rPr>
          <w:rFonts w:hint="eastAsia"/>
        </w:rPr>
        <w:t>危险化学品气雾剂生产常见工序环节如图A.1所示。</w:t>
      </w:r>
    </w:p>
    <w:p w14:paraId="3DB9A765" w14:textId="64C86613" w:rsidR="00C81300" w:rsidRPr="00C81300" w:rsidRDefault="00C81300" w:rsidP="00F54306">
      <w:pPr>
        <w:pStyle w:val="affffb"/>
        <w:ind w:firstLineChars="0" w:firstLine="0"/>
        <w:jc w:val="center"/>
      </w:pPr>
      <w:r w:rsidRPr="00B94AD4">
        <w:drawing>
          <wp:inline distT="0" distB="0" distL="0" distR="0" wp14:anchorId="7B5EFF4E" wp14:editId="378D19B0">
            <wp:extent cx="5041557" cy="3829944"/>
            <wp:effectExtent l="0" t="0" r="6985" b="0"/>
            <wp:docPr id="6737370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6949" cy="3841637"/>
                    </a:xfrm>
                    <a:prstGeom prst="rect">
                      <a:avLst/>
                    </a:prstGeom>
                    <a:noFill/>
                    <a:ln>
                      <a:noFill/>
                    </a:ln>
                  </pic:spPr>
                </pic:pic>
              </a:graphicData>
            </a:graphic>
          </wp:inline>
        </w:drawing>
      </w:r>
    </w:p>
    <w:p w14:paraId="439E3055" w14:textId="77777777" w:rsidR="00C81300" w:rsidRDefault="00C81300" w:rsidP="00C81300">
      <w:pPr>
        <w:pStyle w:val="a5"/>
      </w:pPr>
      <w:r>
        <w:rPr>
          <w:rFonts w:hint="eastAsia"/>
        </w:rPr>
        <w:t>实线框为必备工序，虚线框为可选工序；</w:t>
      </w:r>
    </w:p>
    <w:p w14:paraId="10A6B5CB" w14:textId="06AD99A2" w:rsidR="00C81300" w:rsidRDefault="00C81300" w:rsidP="00C81300">
      <w:pPr>
        <w:pStyle w:val="a5"/>
      </w:pPr>
      <w:r>
        <w:rPr>
          <w:rFonts w:hint="eastAsia"/>
        </w:rPr>
        <w:t>序号①②③为三种可能的包装工序路线。</w:t>
      </w:r>
    </w:p>
    <w:p w14:paraId="214EECCA" w14:textId="77777777" w:rsidR="00C81300" w:rsidRDefault="00C81300" w:rsidP="00C81300">
      <w:pPr>
        <w:pStyle w:val="aff"/>
        <w:spacing w:before="156" w:after="156"/>
        <w:sectPr w:rsidR="00C81300" w:rsidSect="00C81300">
          <w:pgSz w:w="11906" w:h="16838" w:code="9"/>
          <w:pgMar w:top="1928" w:right="1134" w:bottom="1134" w:left="1134" w:header="1418" w:footer="1134" w:gutter="284"/>
          <w:cols w:space="425"/>
          <w:formProt w:val="0"/>
          <w:docGrid w:type="lines" w:linePitch="312"/>
        </w:sectPr>
      </w:pPr>
      <w:r>
        <w:rPr>
          <w:rFonts w:hint="eastAsia"/>
        </w:rPr>
        <w:t>危险化学品气雾剂生产工序流程图</w:t>
      </w:r>
    </w:p>
    <w:p w14:paraId="1F5420BE" w14:textId="60F58E1B" w:rsidR="00C81300" w:rsidRDefault="00C81300" w:rsidP="00C81300">
      <w:pPr>
        <w:pStyle w:val="af8"/>
      </w:pPr>
    </w:p>
    <w:p w14:paraId="4F15BF82" w14:textId="77777777" w:rsidR="00C81300" w:rsidRDefault="00C81300" w:rsidP="00C81300">
      <w:pPr>
        <w:pStyle w:val="afe"/>
      </w:pPr>
    </w:p>
    <w:p w14:paraId="0C760813" w14:textId="53EB4950" w:rsidR="00C81300" w:rsidRDefault="00C81300" w:rsidP="00C81300">
      <w:pPr>
        <w:pStyle w:val="aff3"/>
        <w:spacing w:after="156"/>
      </w:pPr>
      <w:r>
        <w:br/>
      </w:r>
      <w:bookmarkStart w:id="78" w:name="_Toc217917260"/>
      <w:r>
        <w:rPr>
          <w:rFonts w:hint="eastAsia"/>
        </w:rPr>
        <w:t>（规范性）</w:t>
      </w:r>
      <w:r>
        <w:br/>
      </w:r>
      <w:r>
        <w:rPr>
          <w:rFonts w:hint="eastAsia"/>
        </w:rPr>
        <w:t>气雾剂生产企业典型工序环节爆炸危险区域划分示例</w:t>
      </w:r>
      <w:bookmarkEnd w:id="78"/>
    </w:p>
    <w:p w14:paraId="550EB836" w14:textId="77777777" w:rsidR="00C81300" w:rsidRDefault="00C81300" w:rsidP="00C81300">
      <w:pPr>
        <w:pStyle w:val="aff4"/>
        <w:spacing w:before="156" w:after="156"/>
      </w:pPr>
      <w:bookmarkStart w:id="79" w:name="_Toc183683222"/>
      <w:bookmarkStart w:id="80" w:name="_Toc22649"/>
      <w:bookmarkStart w:id="81" w:name="_Toc217917261"/>
      <w:r>
        <w:rPr>
          <w:rFonts w:hint="eastAsia"/>
        </w:rPr>
        <w:t>剂料灌装工序（灌装非易燃液体除外）示例</w:t>
      </w:r>
      <w:bookmarkEnd w:id="79"/>
      <w:bookmarkEnd w:id="80"/>
      <w:bookmarkEnd w:id="81"/>
    </w:p>
    <w:p w14:paraId="30BDDBE4" w14:textId="77777777" w:rsidR="00C81300" w:rsidRDefault="00C81300" w:rsidP="00C81300">
      <w:pPr>
        <w:pStyle w:val="affffb"/>
        <w:ind w:firstLine="420"/>
      </w:pPr>
      <w:r>
        <w:rPr>
          <w:rFonts w:hint="eastAsia"/>
        </w:rPr>
        <w:t>灌装易燃液体时，剂料灌装工序爆炸危险区域划分如图B.1所示。</w:t>
      </w:r>
    </w:p>
    <w:p w14:paraId="41E78749" w14:textId="107F085F" w:rsidR="00356F91" w:rsidRDefault="00356F91" w:rsidP="006309AD">
      <w:pPr>
        <w:pStyle w:val="affffb"/>
        <w:ind w:firstLineChars="0" w:firstLine="0"/>
        <w:jc w:val="center"/>
      </w:pPr>
      <w:r>
        <w:rPr>
          <w:rFonts w:hint="eastAsia"/>
        </w:rPr>
        <w:drawing>
          <wp:inline distT="0" distB="0" distL="0" distR="0" wp14:anchorId="155D82A2" wp14:editId="4AE10442">
            <wp:extent cx="3748216" cy="1938909"/>
            <wp:effectExtent l="0" t="0" r="5080" b="4445"/>
            <wp:docPr id="7046046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b="12391"/>
                    <a:stretch>
                      <a:fillRect/>
                    </a:stretch>
                  </pic:blipFill>
                  <pic:spPr bwMode="auto">
                    <a:xfrm>
                      <a:off x="0" y="0"/>
                      <a:ext cx="3779365" cy="1955022"/>
                    </a:xfrm>
                    <a:prstGeom prst="rect">
                      <a:avLst/>
                    </a:prstGeom>
                    <a:noFill/>
                    <a:ln>
                      <a:noFill/>
                    </a:ln>
                    <a:extLst>
                      <a:ext uri="{53640926-AAD7-44D8-BBD7-CCE9431645EC}">
                        <a14:shadowObscured xmlns:a14="http://schemas.microsoft.com/office/drawing/2010/main"/>
                      </a:ext>
                    </a:extLst>
                  </pic:spPr>
                </pic:pic>
              </a:graphicData>
            </a:graphic>
          </wp:inline>
        </w:drawing>
      </w:r>
    </w:p>
    <w:p w14:paraId="09DDD176" w14:textId="5513444B" w:rsidR="00C81300" w:rsidRDefault="00C81300" w:rsidP="00356F91">
      <w:pPr>
        <w:pStyle w:val="af9"/>
        <w:spacing w:before="156" w:after="156"/>
      </w:pPr>
      <w:r>
        <w:rPr>
          <w:rFonts w:hint="eastAsia"/>
        </w:rPr>
        <w:t>剂料灌装工序示例（未按比例）</w:t>
      </w:r>
    </w:p>
    <w:p w14:paraId="1DB951D1" w14:textId="1EC0584E" w:rsidR="00C81300" w:rsidRDefault="00C81300" w:rsidP="0084410B">
      <w:pPr>
        <w:pStyle w:val="affffb"/>
        <w:ind w:firstLine="420"/>
      </w:pPr>
      <w:r>
        <w:rPr>
          <w:rFonts w:hint="eastAsia"/>
        </w:rPr>
        <w:t>剂料灌装防护隔离罩内的范围可划为1区</w:t>
      </w:r>
      <w:r w:rsidR="00356F91">
        <w:rPr>
          <w:rFonts w:hint="eastAsia"/>
        </w:rPr>
        <w:t>。</w:t>
      </w:r>
    </w:p>
    <w:p w14:paraId="6984905F" w14:textId="57276D78" w:rsidR="00C81300" w:rsidRDefault="00C81300" w:rsidP="0084410B">
      <w:pPr>
        <w:pStyle w:val="affffb"/>
        <w:ind w:firstLine="420"/>
      </w:pPr>
      <w:r>
        <w:rPr>
          <w:rFonts w:hint="eastAsia"/>
        </w:rPr>
        <w:t>a=1.5 m，b=1.5</w:t>
      </w:r>
      <w:r w:rsidR="00401325">
        <w:rPr>
          <w:rFonts w:hint="eastAsia"/>
        </w:rPr>
        <w:t xml:space="preserve"> </w:t>
      </w:r>
      <w:r>
        <w:rPr>
          <w:rFonts w:hint="eastAsia"/>
        </w:rPr>
        <w:t>m，剂料灌装防护隔离罩外距离（半径）为1.5</w:t>
      </w:r>
      <w:r w:rsidR="00401325">
        <w:rPr>
          <w:rFonts w:hint="eastAsia"/>
        </w:rPr>
        <w:t xml:space="preserve"> </w:t>
      </w:r>
      <w:r>
        <w:rPr>
          <w:rFonts w:hint="eastAsia"/>
        </w:rPr>
        <w:t>m的范围可划为2区。</w:t>
      </w:r>
    </w:p>
    <w:p w14:paraId="1DA3775D" w14:textId="77777777" w:rsidR="00C81300" w:rsidRDefault="00C81300" w:rsidP="0084410B">
      <w:pPr>
        <w:pStyle w:val="affffb"/>
        <w:ind w:firstLine="420"/>
      </w:pPr>
      <w:r>
        <w:rPr>
          <w:rFonts w:hint="eastAsia"/>
        </w:rPr>
        <w:t>按照上述区域划分时，宜满足以下条件：</w:t>
      </w:r>
    </w:p>
    <w:p w14:paraId="2326DF03" w14:textId="77777777" w:rsidR="00C81300" w:rsidRDefault="00C81300" w:rsidP="0084410B">
      <w:pPr>
        <w:pStyle w:val="af2"/>
      </w:pPr>
      <w:r>
        <w:rPr>
          <w:rFonts w:hint="eastAsia"/>
        </w:rPr>
        <w:t>剂料灌装（灌装非易燃液体除外）工序环节宜设置独立的防护隔离罩；</w:t>
      </w:r>
    </w:p>
    <w:p w14:paraId="254640B8" w14:textId="77777777" w:rsidR="00C81300" w:rsidRDefault="00C81300" w:rsidP="0084410B">
      <w:pPr>
        <w:pStyle w:val="af2"/>
      </w:pPr>
      <w:r>
        <w:rPr>
          <w:rFonts w:hint="eastAsia"/>
        </w:rPr>
        <w:t>剂料灌装（灌装非易燃液体除外）工序环节宜设置通风系统，至少有侧面和底部的通风系统，保持防护隔离罩内负压；</w:t>
      </w:r>
    </w:p>
    <w:p w14:paraId="132DA964" w14:textId="77777777" w:rsidR="00C81300" w:rsidRDefault="00C81300" w:rsidP="0084410B">
      <w:pPr>
        <w:pStyle w:val="af2"/>
      </w:pPr>
      <w:r>
        <w:rPr>
          <w:rFonts w:hint="eastAsia"/>
        </w:rPr>
        <w:t>通风系统宜与生产线和推进剂供应系统联锁互动，通风系统中断时，生产线停止运行并自动关闭推进剂的供应；</w:t>
      </w:r>
    </w:p>
    <w:p w14:paraId="59C80CEF" w14:textId="77777777" w:rsidR="00C81300" w:rsidRDefault="00C81300" w:rsidP="0084410B">
      <w:pPr>
        <w:pStyle w:val="af2"/>
      </w:pPr>
      <w:r>
        <w:rPr>
          <w:rFonts w:hint="eastAsia"/>
        </w:rPr>
        <w:t>剂料灌装（灌装非易燃液体除外）工序环节宜设置至少1个可燃气体探测器，并定期进行检查维护。</w:t>
      </w:r>
    </w:p>
    <w:p w14:paraId="00EAC99B" w14:textId="77777777" w:rsidR="00401325" w:rsidRDefault="00401325" w:rsidP="00401325">
      <w:pPr>
        <w:pStyle w:val="aff4"/>
        <w:spacing w:before="156" w:after="156"/>
      </w:pPr>
      <w:bookmarkStart w:id="82" w:name="_Toc1578"/>
      <w:bookmarkStart w:id="83" w:name="_Toc183683223"/>
      <w:bookmarkStart w:id="84" w:name="_Toc217917262"/>
      <w:r>
        <w:rPr>
          <w:rFonts w:hint="eastAsia"/>
        </w:rPr>
        <w:t>气雾阀放置</w:t>
      </w:r>
      <w:r>
        <w:t>/</w:t>
      </w:r>
      <w:r>
        <w:rPr>
          <w:rFonts w:hint="eastAsia"/>
        </w:rPr>
        <w:t>封阀（灌装非易燃液体除外）工序示例</w:t>
      </w:r>
      <w:bookmarkEnd w:id="82"/>
      <w:bookmarkEnd w:id="83"/>
      <w:bookmarkEnd w:id="84"/>
    </w:p>
    <w:p w14:paraId="4A44E11A" w14:textId="77777777" w:rsidR="00401325" w:rsidRDefault="00401325" w:rsidP="00401325">
      <w:pPr>
        <w:pStyle w:val="affffb"/>
        <w:ind w:firstLine="420"/>
      </w:pPr>
      <w:r>
        <w:rPr>
          <w:rFonts w:hint="eastAsia"/>
        </w:rPr>
        <w:t>灌装易燃液体时，</w:t>
      </w:r>
      <w:r w:rsidRPr="003D7A09">
        <w:rPr>
          <w:rFonts w:hint="eastAsia"/>
        </w:rPr>
        <w:t>气雾阀放置</w:t>
      </w:r>
      <w:r>
        <w:rPr>
          <w:rFonts w:hint="eastAsia"/>
        </w:rPr>
        <w:t>及</w:t>
      </w:r>
      <w:r w:rsidRPr="003D7A09">
        <w:rPr>
          <w:rFonts w:hint="eastAsia"/>
        </w:rPr>
        <w:t>封阀</w:t>
      </w:r>
      <w:r>
        <w:rPr>
          <w:rFonts w:hint="eastAsia"/>
        </w:rPr>
        <w:t>工序爆炸危险区域划分如图B.2所示。</w:t>
      </w:r>
    </w:p>
    <w:p w14:paraId="44DD183A" w14:textId="7E32C8BD" w:rsidR="00C81300" w:rsidRDefault="00401325" w:rsidP="006309AD">
      <w:pPr>
        <w:pStyle w:val="affffb"/>
        <w:ind w:firstLineChars="0" w:firstLine="0"/>
        <w:jc w:val="center"/>
      </w:pPr>
      <w:r>
        <w:rPr>
          <w:rFonts w:hint="eastAsia"/>
        </w:rPr>
        <w:drawing>
          <wp:inline distT="0" distB="0" distL="0" distR="0" wp14:anchorId="2C7AA5E0" wp14:editId="73FA4551">
            <wp:extent cx="3760573" cy="1922267"/>
            <wp:effectExtent l="0" t="0" r="0" b="1905"/>
            <wp:docPr id="2311073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2168" cy="1948641"/>
                    </a:xfrm>
                    <a:prstGeom prst="rect">
                      <a:avLst/>
                    </a:prstGeom>
                    <a:noFill/>
                    <a:ln>
                      <a:noFill/>
                    </a:ln>
                  </pic:spPr>
                </pic:pic>
              </a:graphicData>
            </a:graphic>
          </wp:inline>
        </w:drawing>
      </w:r>
    </w:p>
    <w:p w14:paraId="74BC2732" w14:textId="1C95DB61" w:rsidR="00401325" w:rsidRPr="00401325" w:rsidRDefault="00401325" w:rsidP="00401325">
      <w:pPr>
        <w:pStyle w:val="af9"/>
        <w:spacing w:before="156" w:after="156"/>
      </w:pPr>
      <w:r w:rsidRPr="00401325">
        <w:rPr>
          <w:rFonts w:hint="eastAsia"/>
        </w:rPr>
        <w:t>气雾阀放置/封阀工序示例（未按比例）</w:t>
      </w:r>
    </w:p>
    <w:p w14:paraId="58FA8F04" w14:textId="7A82AA06" w:rsidR="00401325" w:rsidRDefault="00401325" w:rsidP="00401325">
      <w:pPr>
        <w:pStyle w:val="affffb"/>
        <w:ind w:firstLine="420"/>
      </w:pPr>
      <w:r>
        <w:rPr>
          <w:rFonts w:hint="eastAsia"/>
        </w:rPr>
        <w:t>气雾阀放置</w:t>
      </w:r>
      <w:r>
        <w:t>/</w:t>
      </w:r>
      <w:r>
        <w:rPr>
          <w:rFonts w:hint="eastAsia"/>
        </w:rPr>
        <w:t>封阀工序防护隔离罩内的范围可划为1区。</w:t>
      </w:r>
    </w:p>
    <w:p w14:paraId="1F4D83AB" w14:textId="18998FCD" w:rsidR="00401325" w:rsidRDefault="00401325" w:rsidP="00401325">
      <w:pPr>
        <w:pStyle w:val="affffb"/>
        <w:ind w:firstLine="420"/>
      </w:pPr>
      <w:r>
        <w:rPr>
          <w:rFonts w:hint="eastAsia"/>
        </w:rPr>
        <w:t>a=1.5 m，b=1.5 m，气雾阀放置</w:t>
      </w:r>
      <w:r>
        <w:t>/</w:t>
      </w:r>
      <w:r>
        <w:rPr>
          <w:rFonts w:hint="eastAsia"/>
        </w:rPr>
        <w:t>封阀工序防护隔离罩外距离（半径）为1.5 m的范围可划为2区。</w:t>
      </w:r>
    </w:p>
    <w:p w14:paraId="7BC0EA38" w14:textId="77777777" w:rsidR="00401325" w:rsidRDefault="00401325" w:rsidP="00401325">
      <w:pPr>
        <w:pStyle w:val="affffb"/>
        <w:ind w:firstLine="420"/>
      </w:pPr>
      <w:r>
        <w:rPr>
          <w:rFonts w:hint="eastAsia"/>
        </w:rPr>
        <w:t>按照上述区域划分时，宜满足以下条件：</w:t>
      </w:r>
    </w:p>
    <w:p w14:paraId="32E661E7" w14:textId="77777777" w:rsidR="00401325" w:rsidRDefault="00401325" w:rsidP="00401325">
      <w:pPr>
        <w:pStyle w:val="af2"/>
      </w:pPr>
      <w:r>
        <w:rPr>
          <w:rFonts w:hint="eastAsia"/>
        </w:rPr>
        <w:t>气雾阀放置</w:t>
      </w:r>
      <w:r>
        <w:t>/</w:t>
      </w:r>
      <w:r>
        <w:rPr>
          <w:rFonts w:hint="eastAsia"/>
        </w:rPr>
        <w:t>封阀（灌装非易燃液体除外）工序环节宜设置独立的防护隔离罩；</w:t>
      </w:r>
    </w:p>
    <w:p w14:paraId="4B46A2A0" w14:textId="77777777" w:rsidR="00401325" w:rsidRDefault="00401325" w:rsidP="00401325">
      <w:pPr>
        <w:pStyle w:val="af2"/>
      </w:pPr>
      <w:r>
        <w:rPr>
          <w:rFonts w:hint="eastAsia"/>
        </w:rPr>
        <w:t>气雾阀放置</w:t>
      </w:r>
      <w:r>
        <w:t>/</w:t>
      </w:r>
      <w:r>
        <w:rPr>
          <w:rFonts w:hint="eastAsia"/>
        </w:rPr>
        <w:t>封阀（灌装非易燃液体除外）工序环节宜设置通风系统，至少有侧面和底部的通风系统，保持防护隔离罩内负压；</w:t>
      </w:r>
    </w:p>
    <w:p w14:paraId="6FD9A771" w14:textId="77777777" w:rsidR="00401325" w:rsidRDefault="00401325" w:rsidP="00401325">
      <w:pPr>
        <w:pStyle w:val="af2"/>
      </w:pPr>
      <w:r>
        <w:rPr>
          <w:rFonts w:hint="eastAsia"/>
        </w:rPr>
        <w:t>通风系统宜与生产线和推进剂供应系统联锁互动，通风系统中断时，生产线停止运行并自动关闭推进剂的供应；</w:t>
      </w:r>
    </w:p>
    <w:p w14:paraId="0BF999A8" w14:textId="77777777" w:rsidR="00401325" w:rsidRDefault="00401325" w:rsidP="00401325">
      <w:pPr>
        <w:pStyle w:val="af2"/>
      </w:pPr>
      <w:r>
        <w:rPr>
          <w:rFonts w:hint="eastAsia"/>
        </w:rPr>
        <w:t>气雾阀放置</w:t>
      </w:r>
      <w:r>
        <w:t>/</w:t>
      </w:r>
      <w:r>
        <w:rPr>
          <w:rFonts w:hint="eastAsia"/>
        </w:rPr>
        <w:t>封阀（灌装非易燃液体除外）工序环节宜设置至少1个可燃气体探测器，并定期进行检查维护。</w:t>
      </w:r>
    </w:p>
    <w:p w14:paraId="7BD228C4" w14:textId="77777777" w:rsidR="004E6819" w:rsidRDefault="004E6819" w:rsidP="004E6819">
      <w:pPr>
        <w:pStyle w:val="aff4"/>
        <w:spacing w:before="156" w:after="156"/>
      </w:pPr>
      <w:bookmarkStart w:id="85" w:name="_Toc16356"/>
      <w:bookmarkStart w:id="86" w:name="_Toc183683224"/>
      <w:bookmarkStart w:id="87" w:name="_Toc217917263"/>
      <w:r>
        <w:rPr>
          <w:rFonts w:hint="eastAsia"/>
        </w:rPr>
        <w:t>充填室示例</w:t>
      </w:r>
      <w:bookmarkEnd w:id="85"/>
      <w:bookmarkEnd w:id="86"/>
      <w:bookmarkEnd w:id="87"/>
    </w:p>
    <w:p w14:paraId="4872EFA6" w14:textId="77777777" w:rsidR="004E6819" w:rsidRDefault="004E6819" w:rsidP="004E6819">
      <w:pPr>
        <w:pStyle w:val="aff5"/>
        <w:spacing w:before="156" w:after="156"/>
      </w:pPr>
      <w:r>
        <w:rPr>
          <w:rFonts w:hint="eastAsia"/>
        </w:rPr>
        <w:t>A方案：外设充填室示例</w:t>
      </w:r>
    </w:p>
    <w:p w14:paraId="4C3D1198" w14:textId="7C60844C" w:rsidR="00C81300" w:rsidRPr="00401325" w:rsidRDefault="004E6819" w:rsidP="004E6819">
      <w:pPr>
        <w:pStyle w:val="affffb"/>
        <w:ind w:firstLine="420"/>
      </w:pPr>
      <w:r>
        <w:rPr>
          <w:rFonts w:hint="eastAsia"/>
        </w:rPr>
        <w:t>采用外设充填室时，充填室</w:t>
      </w:r>
      <w:r w:rsidRPr="007B2CF1">
        <w:rPr>
          <w:rFonts w:hint="eastAsia"/>
        </w:rPr>
        <w:t>爆炸危险区域划分如图B.</w:t>
      </w:r>
      <w:r>
        <w:rPr>
          <w:rFonts w:hint="eastAsia"/>
        </w:rPr>
        <w:t>3</w:t>
      </w:r>
      <w:r w:rsidRPr="007B2CF1">
        <w:rPr>
          <w:rFonts w:hint="eastAsia"/>
        </w:rPr>
        <w:t>所示。</w:t>
      </w:r>
    </w:p>
    <w:p w14:paraId="7694C9C0" w14:textId="4056BBAE" w:rsidR="00C81300" w:rsidRDefault="005C3F3F" w:rsidP="006309AD">
      <w:pPr>
        <w:pStyle w:val="affffb"/>
        <w:ind w:firstLineChars="0" w:firstLine="0"/>
        <w:jc w:val="center"/>
      </w:pPr>
      <w:r>
        <w:rPr>
          <w:rFonts w:hint="eastAsia"/>
        </w:rPr>
        <w:drawing>
          <wp:inline distT="0" distB="0" distL="0" distR="0" wp14:anchorId="2CC8BD79" wp14:editId="2BE6DBD2">
            <wp:extent cx="3204519" cy="1276447"/>
            <wp:effectExtent l="0" t="0" r="0" b="0"/>
            <wp:docPr id="28576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32419" cy="1287560"/>
                    </a:xfrm>
                    <a:prstGeom prst="rect">
                      <a:avLst/>
                    </a:prstGeom>
                    <a:noFill/>
                    <a:ln>
                      <a:noFill/>
                    </a:ln>
                  </pic:spPr>
                </pic:pic>
              </a:graphicData>
            </a:graphic>
          </wp:inline>
        </w:drawing>
      </w:r>
    </w:p>
    <w:p w14:paraId="36EE9331" w14:textId="08F6756D" w:rsidR="005C3F3F" w:rsidRDefault="005C3F3F" w:rsidP="005C3F3F">
      <w:pPr>
        <w:pStyle w:val="af9"/>
        <w:spacing w:before="156" w:after="156"/>
      </w:pPr>
      <w:r w:rsidRPr="005C3F3F">
        <w:rPr>
          <w:rFonts w:hint="eastAsia"/>
        </w:rPr>
        <w:t>外设充填室示例（未按比例）</w:t>
      </w:r>
    </w:p>
    <w:p w14:paraId="2A4DFE25" w14:textId="77777777" w:rsidR="005C3F3F" w:rsidRDefault="005C3F3F" w:rsidP="005C3F3F">
      <w:pPr>
        <w:pStyle w:val="affffb"/>
        <w:ind w:firstLine="420"/>
      </w:pPr>
      <w:r>
        <w:rPr>
          <w:rFonts w:hint="eastAsia"/>
        </w:rPr>
        <w:t>推进剂充填室内的范围可划为1区；</w:t>
      </w:r>
    </w:p>
    <w:p w14:paraId="1AD68B19" w14:textId="4E6779A6" w:rsidR="005C3F3F" w:rsidRDefault="005C3F3F" w:rsidP="005C3F3F">
      <w:pPr>
        <w:pStyle w:val="affffb"/>
        <w:ind w:firstLine="420"/>
      </w:pPr>
      <w:r>
        <w:rPr>
          <w:rFonts w:hint="eastAsia"/>
        </w:rPr>
        <w:t>a=1.5 m，b=1.5 m，从推进剂充填室门和生产线进出口到各个方向的距离（半径）为1.5 m的范围可划为2区。</w:t>
      </w:r>
    </w:p>
    <w:p w14:paraId="3C641F54" w14:textId="77777777" w:rsidR="005C3F3F" w:rsidRDefault="005C3F3F" w:rsidP="005C3F3F">
      <w:pPr>
        <w:pStyle w:val="aff5"/>
        <w:spacing w:before="156" w:after="156"/>
      </w:pPr>
      <w:r>
        <w:rPr>
          <w:rFonts w:hint="eastAsia"/>
        </w:rPr>
        <w:t>B方案：靠墙充填室示例</w:t>
      </w:r>
    </w:p>
    <w:p w14:paraId="6812A318" w14:textId="77777777" w:rsidR="005C3F3F" w:rsidRDefault="005C3F3F" w:rsidP="005C3F3F">
      <w:pPr>
        <w:pStyle w:val="affffb"/>
        <w:ind w:firstLine="420"/>
      </w:pPr>
      <w:r>
        <w:rPr>
          <w:rFonts w:hint="eastAsia"/>
        </w:rPr>
        <w:t>采用靠墙充填室时，充填室</w:t>
      </w:r>
      <w:r w:rsidRPr="007B2CF1">
        <w:rPr>
          <w:rFonts w:hint="eastAsia"/>
        </w:rPr>
        <w:t>爆炸危险区域划分如图B.</w:t>
      </w:r>
      <w:r>
        <w:rPr>
          <w:rFonts w:hint="eastAsia"/>
        </w:rPr>
        <w:t>4</w:t>
      </w:r>
      <w:r w:rsidRPr="007B2CF1">
        <w:rPr>
          <w:rFonts w:hint="eastAsia"/>
        </w:rPr>
        <w:t>所示。</w:t>
      </w:r>
    </w:p>
    <w:p w14:paraId="4335F82E" w14:textId="567AF5EE" w:rsidR="005C3F3F" w:rsidRDefault="005C3F3F" w:rsidP="006309AD">
      <w:pPr>
        <w:pStyle w:val="affffb"/>
        <w:ind w:firstLineChars="0" w:firstLine="0"/>
        <w:jc w:val="center"/>
      </w:pPr>
      <w:r>
        <w:rPr>
          <w:rFonts w:hint="eastAsia"/>
        </w:rPr>
        <w:drawing>
          <wp:inline distT="0" distB="0" distL="0" distR="0" wp14:anchorId="5A40408E" wp14:editId="5C89C211">
            <wp:extent cx="2055341" cy="1461390"/>
            <wp:effectExtent l="0" t="0" r="2540" b="5715"/>
            <wp:docPr id="7461140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67402" cy="1469965"/>
                    </a:xfrm>
                    <a:prstGeom prst="rect">
                      <a:avLst/>
                    </a:prstGeom>
                    <a:noFill/>
                    <a:ln>
                      <a:noFill/>
                    </a:ln>
                  </pic:spPr>
                </pic:pic>
              </a:graphicData>
            </a:graphic>
          </wp:inline>
        </w:drawing>
      </w:r>
    </w:p>
    <w:p w14:paraId="3F53A5D6" w14:textId="653F5746" w:rsidR="005C3F3F" w:rsidRDefault="005C3F3F" w:rsidP="005C3F3F">
      <w:pPr>
        <w:pStyle w:val="af9"/>
        <w:spacing w:before="156" w:after="156"/>
      </w:pPr>
      <w:r w:rsidRPr="005C3F3F">
        <w:rPr>
          <w:rFonts w:hint="eastAsia"/>
        </w:rPr>
        <w:t>靠墙充填室示例（未按比例）</w:t>
      </w:r>
    </w:p>
    <w:p w14:paraId="68D5B521" w14:textId="77777777" w:rsidR="005C3F3F" w:rsidRDefault="005C3F3F" w:rsidP="005C3F3F">
      <w:pPr>
        <w:pStyle w:val="affffb"/>
        <w:ind w:firstLine="420"/>
      </w:pPr>
      <w:r>
        <w:rPr>
          <w:rFonts w:hint="eastAsia"/>
        </w:rPr>
        <w:t>推进剂充填室内的范围可划为1区。</w:t>
      </w:r>
    </w:p>
    <w:p w14:paraId="4E63AF64" w14:textId="675A7591" w:rsidR="005C3F3F" w:rsidRDefault="005C3F3F" w:rsidP="005C3F3F">
      <w:pPr>
        <w:pStyle w:val="affffb"/>
        <w:ind w:firstLine="420"/>
      </w:pPr>
      <w:r>
        <w:rPr>
          <w:rFonts w:hint="eastAsia"/>
        </w:rPr>
        <w:t>a=1.5 m，b=1.5 m，从推进剂充填室门和生产线进出口到各个方向的距离（半径）为1.5 m的范围可划为2区。</w:t>
      </w:r>
    </w:p>
    <w:p w14:paraId="614C608C" w14:textId="77777777" w:rsidR="005C3F3F" w:rsidRDefault="005C3F3F" w:rsidP="005C3F3F">
      <w:pPr>
        <w:pStyle w:val="aff5"/>
        <w:spacing w:before="156" w:after="156"/>
      </w:pPr>
      <w:r>
        <w:rPr>
          <w:rFonts w:hint="eastAsia"/>
        </w:rPr>
        <w:t>C方案：内设充填室示例</w:t>
      </w:r>
    </w:p>
    <w:p w14:paraId="4A20D72A" w14:textId="77777777" w:rsidR="005C3F3F" w:rsidRDefault="005C3F3F" w:rsidP="005C3F3F">
      <w:pPr>
        <w:pStyle w:val="affffb"/>
        <w:ind w:firstLine="420"/>
      </w:pPr>
      <w:r>
        <w:rPr>
          <w:rFonts w:hint="eastAsia"/>
        </w:rPr>
        <w:t>采用内设充填室时，充填室</w:t>
      </w:r>
      <w:r w:rsidRPr="007B2CF1">
        <w:rPr>
          <w:rFonts w:hint="eastAsia"/>
        </w:rPr>
        <w:t>爆炸危险区域划分如图B.</w:t>
      </w:r>
      <w:r>
        <w:rPr>
          <w:rFonts w:hint="eastAsia"/>
        </w:rPr>
        <w:t>5</w:t>
      </w:r>
      <w:r w:rsidRPr="007B2CF1">
        <w:rPr>
          <w:rFonts w:hint="eastAsia"/>
        </w:rPr>
        <w:t>所示。</w:t>
      </w:r>
    </w:p>
    <w:p w14:paraId="48ADE0F4" w14:textId="662A03D1" w:rsidR="006309AD" w:rsidRDefault="006309AD" w:rsidP="006309AD">
      <w:pPr>
        <w:pStyle w:val="affffb"/>
        <w:ind w:firstLineChars="0" w:firstLine="0"/>
        <w:jc w:val="center"/>
      </w:pPr>
      <w:r>
        <w:rPr>
          <w:rFonts w:hint="eastAsia"/>
        </w:rPr>
        <w:drawing>
          <wp:inline distT="0" distB="0" distL="0" distR="0" wp14:anchorId="2C146D01" wp14:editId="1F7D54F3">
            <wp:extent cx="2164548" cy="1400690"/>
            <wp:effectExtent l="0" t="0" r="7620" b="9525"/>
            <wp:docPr id="1161629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90114" cy="1417234"/>
                    </a:xfrm>
                    <a:prstGeom prst="rect">
                      <a:avLst/>
                    </a:prstGeom>
                    <a:noFill/>
                    <a:ln>
                      <a:noFill/>
                    </a:ln>
                  </pic:spPr>
                </pic:pic>
              </a:graphicData>
            </a:graphic>
          </wp:inline>
        </w:drawing>
      </w:r>
    </w:p>
    <w:p w14:paraId="161B12A5" w14:textId="071C6F8F" w:rsidR="006309AD" w:rsidRDefault="006309AD" w:rsidP="006309AD">
      <w:pPr>
        <w:pStyle w:val="af9"/>
        <w:spacing w:before="156" w:after="156"/>
      </w:pPr>
      <w:r w:rsidRPr="006309AD">
        <w:rPr>
          <w:rFonts w:hint="eastAsia"/>
        </w:rPr>
        <w:t>内设充填室示例（未按比例）</w:t>
      </w:r>
    </w:p>
    <w:p w14:paraId="519BDD36" w14:textId="0420CC02" w:rsidR="006309AD" w:rsidRDefault="006309AD" w:rsidP="006309AD">
      <w:pPr>
        <w:pStyle w:val="affffb"/>
        <w:ind w:firstLine="420"/>
      </w:pPr>
      <w:r>
        <w:rPr>
          <w:rFonts w:hint="eastAsia"/>
        </w:rPr>
        <w:t>推进剂充填室内的范围可划为1区。</w:t>
      </w:r>
    </w:p>
    <w:p w14:paraId="63824206" w14:textId="01FF1690" w:rsidR="006309AD" w:rsidRDefault="006309AD" w:rsidP="006309AD">
      <w:pPr>
        <w:pStyle w:val="affffb"/>
        <w:ind w:firstLine="420"/>
      </w:pPr>
      <w:r>
        <w:rPr>
          <w:rFonts w:hint="eastAsia"/>
        </w:rPr>
        <w:t>a=1.5 m，b=1.5 m，从推进剂充填室门和生产线进出口到各个方向的距离（半径）为1.5 m的范围可划为2区。</w:t>
      </w:r>
    </w:p>
    <w:p w14:paraId="172BBF1E" w14:textId="77777777" w:rsidR="006309AD" w:rsidRDefault="006309AD" w:rsidP="006309AD">
      <w:pPr>
        <w:pStyle w:val="affffb"/>
        <w:ind w:firstLine="420"/>
      </w:pPr>
      <w:r>
        <w:rPr>
          <w:rFonts w:hint="eastAsia"/>
        </w:rPr>
        <w:t>按照上述区域划分时，宜满足以下条件：</w:t>
      </w:r>
    </w:p>
    <w:p w14:paraId="044F9AB3" w14:textId="77777777" w:rsidR="006309AD" w:rsidRDefault="006309AD" w:rsidP="006309AD">
      <w:pPr>
        <w:pStyle w:val="af2"/>
      </w:pPr>
      <w:r>
        <w:rPr>
          <w:rFonts w:hint="eastAsia"/>
        </w:rPr>
        <w:t>充填室外面</w:t>
      </w:r>
      <w:r>
        <w:t>15 m</w:t>
      </w:r>
      <w:r>
        <w:rPr>
          <w:rFonts w:hint="eastAsia"/>
        </w:rPr>
        <w:t>范围内不宜有明排水沟，如果有排水沟宜封闭；</w:t>
      </w:r>
    </w:p>
    <w:p w14:paraId="7CEE6C5C" w14:textId="77777777" w:rsidR="006309AD" w:rsidRDefault="006309AD" w:rsidP="006309AD">
      <w:pPr>
        <w:pStyle w:val="af2"/>
      </w:pPr>
      <w:r>
        <w:rPr>
          <w:rFonts w:hint="eastAsia"/>
        </w:rPr>
        <w:t>充填室地面宜为防静电材料；</w:t>
      </w:r>
    </w:p>
    <w:p w14:paraId="61C0137C" w14:textId="77777777" w:rsidR="006309AD" w:rsidRDefault="006309AD" w:rsidP="006309AD">
      <w:pPr>
        <w:pStyle w:val="af2"/>
      </w:pPr>
      <w:r>
        <w:rPr>
          <w:rFonts w:hint="eastAsia"/>
        </w:rPr>
        <w:t>推进剂充填室内宜设置通风系统，至少有侧面和底部的通风系统，保持推进剂充填室内负压；</w:t>
      </w:r>
    </w:p>
    <w:p w14:paraId="20B864E0" w14:textId="77777777" w:rsidR="006309AD" w:rsidRDefault="006309AD" w:rsidP="006309AD">
      <w:pPr>
        <w:pStyle w:val="af2"/>
      </w:pPr>
      <w:r>
        <w:rPr>
          <w:rFonts w:hint="eastAsia"/>
        </w:rPr>
        <w:t>通风系统宜与生产线和推进剂供宜系统联锁互动，通风系统中断时，生产线停止运行并自动关闭推进剂的供应；</w:t>
      </w:r>
    </w:p>
    <w:p w14:paraId="0CBFA582" w14:textId="5D029D45" w:rsidR="006309AD" w:rsidRDefault="006309AD" w:rsidP="006309AD">
      <w:pPr>
        <w:pStyle w:val="af2"/>
      </w:pPr>
      <w:r>
        <w:rPr>
          <w:rFonts w:hint="eastAsia"/>
        </w:rPr>
        <w:t>推进剂充填室内宜设置至少</w:t>
      </w:r>
      <w:r>
        <w:t>2</w:t>
      </w:r>
      <w:r>
        <w:rPr>
          <w:rFonts w:hint="eastAsia"/>
        </w:rPr>
        <w:t>个可燃气体探测器，并定期进行检查维护。</w:t>
      </w:r>
    </w:p>
    <w:p w14:paraId="26F63D41" w14:textId="77777777" w:rsidR="006309AD" w:rsidRDefault="006309AD" w:rsidP="006309AD">
      <w:pPr>
        <w:pStyle w:val="aff4"/>
        <w:spacing w:before="156" w:after="156"/>
      </w:pPr>
      <w:bookmarkStart w:id="88" w:name="_Toc11266"/>
      <w:bookmarkStart w:id="89" w:name="_Toc183683225"/>
      <w:bookmarkStart w:id="90" w:name="_Toc217917264"/>
      <w:r>
        <w:rPr>
          <w:rFonts w:hint="eastAsia"/>
        </w:rPr>
        <w:t>重量检测工序示例</w:t>
      </w:r>
      <w:bookmarkEnd w:id="88"/>
      <w:bookmarkEnd w:id="89"/>
      <w:bookmarkEnd w:id="90"/>
    </w:p>
    <w:p w14:paraId="6930AF45" w14:textId="4F98A255" w:rsidR="006309AD" w:rsidRDefault="006309AD" w:rsidP="006309AD">
      <w:pPr>
        <w:pStyle w:val="affffb"/>
        <w:ind w:firstLine="420"/>
      </w:pPr>
      <w:r>
        <w:rPr>
          <w:rFonts w:hint="eastAsia"/>
        </w:rPr>
        <w:t>重量检测工序爆炸危险区域划分</w:t>
      </w:r>
      <w:r w:rsidRPr="007B2CF1">
        <w:rPr>
          <w:rFonts w:hint="eastAsia"/>
        </w:rPr>
        <w:t>如图B.</w:t>
      </w:r>
      <w:r>
        <w:rPr>
          <w:rFonts w:hint="eastAsia"/>
        </w:rPr>
        <w:t>6</w:t>
      </w:r>
      <w:r w:rsidRPr="007B2CF1">
        <w:rPr>
          <w:rFonts w:hint="eastAsia"/>
        </w:rPr>
        <w:t>所示。</w:t>
      </w:r>
    </w:p>
    <w:p w14:paraId="5376BCE7" w14:textId="33378258" w:rsidR="006309AD" w:rsidRDefault="006309AD" w:rsidP="006309AD">
      <w:pPr>
        <w:pStyle w:val="affffb"/>
        <w:ind w:firstLineChars="0" w:firstLine="0"/>
        <w:jc w:val="center"/>
      </w:pPr>
      <w:r>
        <w:rPr>
          <w:rFonts w:hint="eastAsia"/>
        </w:rPr>
        <w:drawing>
          <wp:inline distT="0" distB="0" distL="0" distR="0" wp14:anchorId="51F0A63C" wp14:editId="79FE49D5">
            <wp:extent cx="2664941" cy="1534487"/>
            <wp:effectExtent l="0" t="0" r="2540" b="8890"/>
            <wp:docPr id="14214383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77941" cy="1541973"/>
                    </a:xfrm>
                    <a:prstGeom prst="rect">
                      <a:avLst/>
                    </a:prstGeom>
                    <a:noFill/>
                    <a:ln>
                      <a:noFill/>
                    </a:ln>
                  </pic:spPr>
                </pic:pic>
              </a:graphicData>
            </a:graphic>
          </wp:inline>
        </w:drawing>
      </w:r>
    </w:p>
    <w:p w14:paraId="714D1F4F" w14:textId="77777777" w:rsidR="006309AD" w:rsidRPr="006309AD" w:rsidRDefault="006309AD" w:rsidP="006309AD">
      <w:pPr>
        <w:pStyle w:val="af9"/>
        <w:spacing w:before="156" w:after="156"/>
      </w:pPr>
      <w:r w:rsidRPr="006309AD">
        <w:rPr>
          <w:rFonts w:hint="eastAsia"/>
        </w:rPr>
        <w:t>重量检测工序示例（未按比例）</w:t>
      </w:r>
    </w:p>
    <w:p w14:paraId="3973712B" w14:textId="77777777" w:rsidR="006309AD" w:rsidRDefault="006309AD" w:rsidP="006309AD">
      <w:pPr>
        <w:pStyle w:val="affffb"/>
        <w:ind w:firstLine="420"/>
      </w:pPr>
      <w:r>
        <w:rPr>
          <w:rFonts w:hint="eastAsia"/>
        </w:rPr>
        <w:t>a=1.5 m，从释放源到各个方向的距离（半径）为1.5m的范围可划为2区。</w:t>
      </w:r>
    </w:p>
    <w:p w14:paraId="1CC94B80" w14:textId="77777777" w:rsidR="006309AD" w:rsidRDefault="006309AD" w:rsidP="006309AD">
      <w:pPr>
        <w:pStyle w:val="affffb"/>
        <w:ind w:firstLine="420"/>
      </w:pPr>
      <w:r>
        <w:rPr>
          <w:rFonts w:hint="eastAsia"/>
        </w:rPr>
        <w:t>按照上述区域划分时，宜满足以下条件：</w:t>
      </w:r>
    </w:p>
    <w:p w14:paraId="71622EE9" w14:textId="77777777" w:rsidR="006309AD" w:rsidRDefault="006309AD" w:rsidP="006309AD">
      <w:pPr>
        <w:pStyle w:val="af2"/>
      </w:pPr>
      <w:r>
        <w:rPr>
          <w:rFonts w:hint="eastAsia"/>
        </w:rPr>
        <w:t>重量检测工序环节宜设置独立的防护隔离罩；</w:t>
      </w:r>
    </w:p>
    <w:p w14:paraId="5EAE9070" w14:textId="77777777" w:rsidR="006309AD" w:rsidRDefault="006309AD" w:rsidP="006309AD">
      <w:pPr>
        <w:pStyle w:val="af2"/>
      </w:pPr>
      <w:r>
        <w:rPr>
          <w:rFonts w:hint="eastAsia"/>
        </w:rPr>
        <w:t>重量检测工序环节宜设置通风系统，至少有侧面和底部的通风系统，保持防护隔离罩内负压；</w:t>
      </w:r>
    </w:p>
    <w:p w14:paraId="69E7F2D3" w14:textId="77777777" w:rsidR="006309AD" w:rsidRDefault="006309AD" w:rsidP="006309AD">
      <w:pPr>
        <w:pStyle w:val="af2"/>
      </w:pPr>
      <w:r>
        <w:rPr>
          <w:rFonts w:hint="eastAsia"/>
        </w:rPr>
        <w:t>通风系统宜与生产线和推进剂供应系统联锁互动，通风系统中断时，生产线停止运行并自动关闭推进剂的供应；</w:t>
      </w:r>
    </w:p>
    <w:p w14:paraId="7357BD99" w14:textId="025B7634" w:rsidR="006309AD" w:rsidRDefault="006309AD" w:rsidP="006309AD">
      <w:pPr>
        <w:pStyle w:val="af2"/>
      </w:pPr>
      <w:r>
        <w:rPr>
          <w:rFonts w:hint="eastAsia"/>
        </w:rPr>
        <w:t>重量检测工序环节宜设置至少1个可燃气体探测器，并定期进行检查维护。</w:t>
      </w:r>
    </w:p>
    <w:p w14:paraId="52FD6816" w14:textId="77777777" w:rsidR="006309AD" w:rsidRDefault="006309AD" w:rsidP="006309AD">
      <w:pPr>
        <w:pStyle w:val="aff4"/>
        <w:spacing w:before="156" w:after="156"/>
      </w:pPr>
      <w:bookmarkStart w:id="91" w:name="_Toc183683226"/>
      <w:bookmarkStart w:id="92" w:name="_Toc14011"/>
      <w:bookmarkStart w:id="93" w:name="_Toc217917265"/>
      <w:r>
        <w:rPr>
          <w:rFonts w:hint="eastAsia"/>
        </w:rPr>
        <w:t>水浴检测工序示例</w:t>
      </w:r>
      <w:bookmarkEnd w:id="91"/>
      <w:bookmarkEnd w:id="92"/>
      <w:bookmarkEnd w:id="93"/>
    </w:p>
    <w:p w14:paraId="4DC406EB" w14:textId="5E8F0775" w:rsidR="006309AD" w:rsidRDefault="006309AD" w:rsidP="006309AD">
      <w:pPr>
        <w:pStyle w:val="affffb"/>
        <w:ind w:firstLine="420"/>
      </w:pPr>
      <w:r>
        <w:rPr>
          <w:rFonts w:hint="eastAsia"/>
        </w:rPr>
        <w:t>水浴检测工序爆炸危险区域划分</w:t>
      </w:r>
      <w:r w:rsidRPr="007B2CF1">
        <w:rPr>
          <w:rFonts w:hint="eastAsia"/>
        </w:rPr>
        <w:t>如图B.</w:t>
      </w:r>
      <w:r>
        <w:rPr>
          <w:rFonts w:hint="eastAsia"/>
        </w:rPr>
        <w:t>7</w:t>
      </w:r>
      <w:r w:rsidRPr="007B2CF1">
        <w:rPr>
          <w:rFonts w:hint="eastAsia"/>
        </w:rPr>
        <w:t>所示。</w:t>
      </w:r>
    </w:p>
    <w:p w14:paraId="420F51D9" w14:textId="7BD710FB" w:rsidR="00B104D6" w:rsidRDefault="00B104D6" w:rsidP="00B104D6">
      <w:pPr>
        <w:pStyle w:val="affffb"/>
        <w:ind w:firstLineChars="0" w:firstLine="0"/>
        <w:jc w:val="center"/>
      </w:pPr>
      <w:r>
        <w:rPr>
          <w:rFonts w:hint="eastAsia"/>
        </w:rPr>
        <w:drawing>
          <wp:inline distT="0" distB="0" distL="0" distR="0" wp14:anchorId="16761C4F" wp14:editId="7E7679F5">
            <wp:extent cx="2410690" cy="2755385"/>
            <wp:effectExtent l="0" t="0" r="8890" b="6985"/>
            <wp:docPr id="16872458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18536" cy="2764353"/>
                    </a:xfrm>
                    <a:prstGeom prst="rect">
                      <a:avLst/>
                    </a:prstGeom>
                    <a:noFill/>
                    <a:ln>
                      <a:noFill/>
                    </a:ln>
                  </pic:spPr>
                </pic:pic>
              </a:graphicData>
            </a:graphic>
          </wp:inline>
        </w:drawing>
      </w:r>
    </w:p>
    <w:p w14:paraId="5EB49F50" w14:textId="77777777" w:rsidR="00B104D6" w:rsidRDefault="00B104D6" w:rsidP="00B104D6">
      <w:pPr>
        <w:pStyle w:val="af9"/>
        <w:spacing w:before="156" w:after="156" w:line="278" w:lineRule="auto"/>
      </w:pPr>
      <w:r>
        <w:rPr>
          <w:rFonts w:hint="eastAsia"/>
        </w:rPr>
        <w:t>水浴检测工序示例（未按比例）</w:t>
      </w:r>
    </w:p>
    <w:p w14:paraId="52509E06" w14:textId="787B35E0" w:rsidR="00B104D6" w:rsidRDefault="00B104D6" w:rsidP="00B104D6">
      <w:pPr>
        <w:pStyle w:val="affffb"/>
        <w:ind w:firstLine="420"/>
      </w:pPr>
      <w:r>
        <w:rPr>
          <w:rFonts w:hint="eastAsia"/>
        </w:rPr>
        <w:t>水浴槽内的范围可划为1区。</w:t>
      </w:r>
    </w:p>
    <w:p w14:paraId="79CB1D79" w14:textId="77777777" w:rsidR="00B104D6" w:rsidRDefault="00B104D6" w:rsidP="00B104D6">
      <w:pPr>
        <w:pStyle w:val="affffb"/>
        <w:ind w:firstLine="420"/>
      </w:pPr>
      <w:r>
        <w:rPr>
          <w:rFonts w:hint="eastAsia"/>
        </w:rPr>
        <w:t>a=1.5 m，b=1.5m，水浴槽外距离（半径）为1.5m的范围可划为2区。</w:t>
      </w:r>
    </w:p>
    <w:p w14:paraId="0036AE3C" w14:textId="77777777" w:rsidR="00B104D6" w:rsidRDefault="00B104D6" w:rsidP="00B104D6">
      <w:pPr>
        <w:pStyle w:val="affffb"/>
        <w:ind w:firstLine="420"/>
      </w:pPr>
      <w:r>
        <w:rPr>
          <w:rFonts w:hint="eastAsia"/>
        </w:rPr>
        <w:t>按照上述区域划分时，宜满足以下条件：</w:t>
      </w:r>
    </w:p>
    <w:p w14:paraId="4CC6F043" w14:textId="77777777" w:rsidR="00B104D6" w:rsidRDefault="00B104D6" w:rsidP="00B104D6">
      <w:pPr>
        <w:pStyle w:val="af2"/>
      </w:pPr>
      <w:r>
        <w:rPr>
          <w:rFonts w:hint="eastAsia"/>
        </w:rPr>
        <w:t>水浴检测工序环节宜设置独立的防护隔离罩；</w:t>
      </w:r>
    </w:p>
    <w:p w14:paraId="06FC2A96" w14:textId="77777777" w:rsidR="00B104D6" w:rsidRDefault="00B104D6" w:rsidP="00B104D6">
      <w:pPr>
        <w:pStyle w:val="af2"/>
      </w:pPr>
      <w:r>
        <w:rPr>
          <w:rFonts w:hint="eastAsia"/>
        </w:rPr>
        <w:t>水浴检测工序环节宜设置通风系统，至少有侧面和底部的通风系统，保持防护隔离罩内负压；</w:t>
      </w:r>
    </w:p>
    <w:p w14:paraId="12FA821B" w14:textId="77777777" w:rsidR="00B104D6" w:rsidRDefault="00B104D6" w:rsidP="00B104D6">
      <w:pPr>
        <w:pStyle w:val="af2"/>
      </w:pPr>
      <w:r>
        <w:rPr>
          <w:rFonts w:hint="eastAsia"/>
        </w:rPr>
        <w:t>通风系统宜与生产线和推进剂供应系统联锁互动，通风系统中断时，生产线停止运行并自动关闭推进剂的供应；</w:t>
      </w:r>
    </w:p>
    <w:p w14:paraId="2F5DEF78" w14:textId="77777777" w:rsidR="00B104D6" w:rsidRDefault="00B104D6" w:rsidP="00B104D6">
      <w:pPr>
        <w:pStyle w:val="af2"/>
      </w:pPr>
      <w:r>
        <w:rPr>
          <w:rFonts w:hint="eastAsia"/>
        </w:rPr>
        <w:t>水浴检测工序环节宜设置至少1个可燃气体探测器，并定期进行检查维护。</w:t>
      </w:r>
    </w:p>
    <w:p w14:paraId="6FD4D73C" w14:textId="77777777" w:rsidR="00B104D6" w:rsidRDefault="00B104D6" w:rsidP="00B104D6">
      <w:pPr>
        <w:pStyle w:val="aff4"/>
        <w:spacing w:before="156" w:after="156"/>
      </w:pPr>
      <w:bookmarkStart w:id="94" w:name="_Toc217917266"/>
      <w:r>
        <w:rPr>
          <w:rFonts w:hint="eastAsia"/>
        </w:rPr>
        <w:t>促动器</w:t>
      </w:r>
      <w:r>
        <w:t>安装</w:t>
      </w:r>
      <w:r>
        <w:rPr>
          <w:rFonts w:hint="eastAsia"/>
        </w:rPr>
        <w:t>工序示例</w:t>
      </w:r>
      <w:bookmarkEnd w:id="94"/>
    </w:p>
    <w:p w14:paraId="0D1C25C3" w14:textId="535201EC" w:rsidR="00B104D6" w:rsidRDefault="00B104D6" w:rsidP="00B104D6">
      <w:pPr>
        <w:pStyle w:val="affffb"/>
        <w:ind w:firstLine="420"/>
      </w:pPr>
      <w:r>
        <w:rPr>
          <w:rFonts w:hint="eastAsia"/>
        </w:rPr>
        <w:t>促动器</w:t>
      </w:r>
      <w:r>
        <w:t>安装</w:t>
      </w:r>
      <w:r>
        <w:rPr>
          <w:rFonts w:hint="eastAsia"/>
        </w:rPr>
        <w:t>工序爆炸危险区域划分</w:t>
      </w:r>
      <w:r w:rsidRPr="007B2CF1">
        <w:rPr>
          <w:rFonts w:hint="eastAsia"/>
        </w:rPr>
        <w:t>如图B.</w:t>
      </w:r>
      <w:r>
        <w:rPr>
          <w:rFonts w:hint="eastAsia"/>
        </w:rPr>
        <w:t>8</w:t>
      </w:r>
      <w:r w:rsidRPr="007B2CF1">
        <w:rPr>
          <w:rFonts w:hint="eastAsia"/>
        </w:rPr>
        <w:t>所示。</w:t>
      </w:r>
    </w:p>
    <w:p w14:paraId="03D39E36" w14:textId="3659CFF4" w:rsidR="00B104D6" w:rsidRDefault="00B104D6" w:rsidP="00B104D6">
      <w:pPr>
        <w:pStyle w:val="affffb"/>
        <w:ind w:firstLineChars="0" w:firstLine="0"/>
        <w:jc w:val="center"/>
      </w:pPr>
      <w:r>
        <w:rPr>
          <w:rFonts w:hint="eastAsia"/>
        </w:rPr>
        <w:drawing>
          <wp:inline distT="0" distB="0" distL="0" distR="0" wp14:anchorId="2E8B81E8" wp14:editId="390378F3">
            <wp:extent cx="2664941" cy="1534487"/>
            <wp:effectExtent l="0" t="0" r="2540" b="8890"/>
            <wp:docPr id="4278543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77941" cy="1541973"/>
                    </a:xfrm>
                    <a:prstGeom prst="rect">
                      <a:avLst/>
                    </a:prstGeom>
                    <a:noFill/>
                    <a:ln>
                      <a:noFill/>
                    </a:ln>
                  </pic:spPr>
                </pic:pic>
              </a:graphicData>
            </a:graphic>
          </wp:inline>
        </w:drawing>
      </w:r>
    </w:p>
    <w:p w14:paraId="4A8ABC7C" w14:textId="307D26E4" w:rsidR="00B104D6" w:rsidRDefault="00B104D6" w:rsidP="00B104D6">
      <w:pPr>
        <w:pStyle w:val="af9"/>
        <w:spacing w:before="156" w:after="156"/>
      </w:pPr>
      <w:r>
        <w:rPr>
          <w:rFonts w:hint="eastAsia"/>
        </w:rPr>
        <w:t>促动器安装工序示例（未按比例）</w:t>
      </w:r>
    </w:p>
    <w:p w14:paraId="476DCBAB" w14:textId="63CD09E3" w:rsidR="00B104D6" w:rsidRDefault="00B104D6" w:rsidP="00B104D6">
      <w:pPr>
        <w:pStyle w:val="affffb"/>
        <w:ind w:firstLine="420"/>
      </w:pPr>
      <w:r>
        <w:rPr>
          <w:rFonts w:hint="eastAsia"/>
        </w:rPr>
        <w:t>a=1.5 m，从释放源到各个方向的距离（半径）为1.5 m的范围可划为2区。</w:t>
      </w:r>
    </w:p>
    <w:p w14:paraId="5A2B4B2B" w14:textId="77777777" w:rsidR="00B104D6" w:rsidRDefault="00B104D6" w:rsidP="00B104D6">
      <w:pPr>
        <w:pStyle w:val="affffb"/>
        <w:ind w:firstLine="420"/>
      </w:pPr>
      <w:r>
        <w:rPr>
          <w:rFonts w:hint="eastAsia"/>
        </w:rPr>
        <w:t>按照上述区域划分时，宜满足以下条件：</w:t>
      </w:r>
    </w:p>
    <w:p w14:paraId="49EF879D" w14:textId="77777777" w:rsidR="00B104D6" w:rsidRDefault="00B104D6" w:rsidP="00B104D6">
      <w:pPr>
        <w:pStyle w:val="af2"/>
      </w:pPr>
      <w:r>
        <w:rPr>
          <w:rFonts w:hint="eastAsia"/>
        </w:rPr>
        <w:t>促动器安装促动器安装工序环节宜设置独立的防护隔离罩；</w:t>
      </w:r>
    </w:p>
    <w:p w14:paraId="05326775" w14:textId="77777777" w:rsidR="00B104D6" w:rsidRDefault="00B104D6" w:rsidP="00B104D6">
      <w:pPr>
        <w:pStyle w:val="af2"/>
      </w:pPr>
      <w:r>
        <w:rPr>
          <w:rFonts w:hint="eastAsia"/>
        </w:rPr>
        <w:t>促动器安装促动器安装工序环节宜设置通风系统，至少有侧面和底部的通风系统，保持防护隔离罩内负压；</w:t>
      </w:r>
    </w:p>
    <w:p w14:paraId="79B7A9AD" w14:textId="77777777" w:rsidR="00B104D6" w:rsidRDefault="00B104D6" w:rsidP="00B104D6">
      <w:pPr>
        <w:pStyle w:val="af2"/>
      </w:pPr>
      <w:r>
        <w:rPr>
          <w:rFonts w:hint="eastAsia"/>
        </w:rPr>
        <w:t>通风系统宜与生产线和推进剂供应系统联锁互动，通风系统中断时，生产线停止运行并自动关闭推进剂的供应；</w:t>
      </w:r>
    </w:p>
    <w:p w14:paraId="15F53834" w14:textId="77777777" w:rsidR="00B104D6" w:rsidRDefault="00B104D6" w:rsidP="00B104D6">
      <w:pPr>
        <w:pStyle w:val="af2"/>
      </w:pPr>
      <w:r>
        <w:rPr>
          <w:rFonts w:hint="eastAsia"/>
        </w:rPr>
        <w:t>促动器安装促动器安装工序环节宜设置至少1个可燃气体探测器，并定期进行检查维护。</w:t>
      </w:r>
    </w:p>
    <w:p w14:paraId="2D3DB86B" w14:textId="77777777" w:rsidR="00B104D6" w:rsidRDefault="00B104D6" w:rsidP="00B104D6">
      <w:pPr>
        <w:pStyle w:val="aff4"/>
        <w:spacing w:before="156" w:after="156"/>
      </w:pPr>
      <w:bookmarkStart w:id="95" w:name="_Toc24480"/>
      <w:bookmarkStart w:id="96" w:name="_Toc183683228"/>
      <w:bookmarkStart w:id="97" w:name="_Toc217917267"/>
      <w:r>
        <w:rPr>
          <w:rFonts w:hint="eastAsia"/>
        </w:rPr>
        <w:t>保护盖</w:t>
      </w:r>
      <w:r>
        <w:t>安装</w:t>
      </w:r>
      <w:r>
        <w:rPr>
          <w:rFonts w:hint="eastAsia"/>
        </w:rPr>
        <w:t>工序示例</w:t>
      </w:r>
      <w:bookmarkEnd w:id="95"/>
      <w:bookmarkEnd w:id="96"/>
      <w:bookmarkEnd w:id="97"/>
    </w:p>
    <w:p w14:paraId="33D8B996" w14:textId="77777777" w:rsidR="00B104D6" w:rsidRDefault="00B104D6" w:rsidP="00B104D6">
      <w:pPr>
        <w:pStyle w:val="affffb"/>
        <w:ind w:firstLine="420"/>
      </w:pPr>
      <w:r>
        <w:rPr>
          <w:rFonts w:hint="eastAsia"/>
        </w:rPr>
        <w:t>保护盖</w:t>
      </w:r>
      <w:r>
        <w:t>安装</w:t>
      </w:r>
      <w:r>
        <w:rPr>
          <w:rFonts w:hint="eastAsia"/>
        </w:rPr>
        <w:t>工序爆炸危险区域划分</w:t>
      </w:r>
      <w:r w:rsidRPr="007B2CF1">
        <w:rPr>
          <w:rFonts w:hint="eastAsia"/>
        </w:rPr>
        <w:t>如图B.</w:t>
      </w:r>
      <w:r>
        <w:rPr>
          <w:rFonts w:hint="eastAsia"/>
        </w:rPr>
        <w:t>9</w:t>
      </w:r>
      <w:r w:rsidRPr="007B2CF1">
        <w:rPr>
          <w:rFonts w:hint="eastAsia"/>
        </w:rPr>
        <w:t>所示。</w:t>
      </w:r>
    </w:p>
    <w:p w14:paraId="6D319311" w14:textId="77777777" w:rsidR="00B104D6" w:rsidRDefault="00B104D6" w:rsidP="00B104D6">
      <w:pPr>
        <w:pStyle w:val="affffb"/>
        <w:ind w:firstLineChars="0" w:firstLine="0"/>
        <w:jc w:val="center"/>
      </w:pPr>
      <w:r>
        <w:rPr>
          <w:rFonts w:hint="eastAsia"/>
        </w:rPr>
        <w:drawing>
          <wp:inline distT="0" distB="0" distL="0" distR="0" wp14:anchorId="416F9CD0" wp14:editId="71DFAC87">
            <wp:extent cx="2664941" cy="1534487"/>
            <wp:effectExtent l="0" t="0" r="2540" b="8890"/>
            <wp:docPr id="146378540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77941" cy="1541973"/>
                    </a:xfrm>
                    <a:prstGeom prst="rect">
                      <a:avLst/>
                    </a:prstGeom>
                    <a:noFill/>
                    <a:ln>
                      <a:noFill/>
                    </a:ln>
                  </pic:spPr>
                </pic:pic>
              </a:graphicData>
            </a:graphic>
          </wp:inline>
        </w:drawing>
      </w:r>
    </w:p>
    <w:p w14:paraId="21E3F661" w14:textId="16A07C32" w:rsidR="00B104D6" w:rsidRDefault="00B104D6" w:rsidP="00B104D6">
      <w:pPr>
        <w:pStyle w:val="af9"/>
        <w:spacing w:before="156" w:after="156"/>
      </w:pPr>
      <w:r w:rsidRPr="00B104D6">
        <w:rPr>
          <w:rFonts w:hint="eastAsia"/>
        </w:rPr>
        <w:t>保护盖安装工序示例</w:t>
      </w:r>
      <w:r>
        <w:rPr>
          <w:rFonts w:hint="eastAsia"/>
        </w:rPr>
        <w:t>（未按比例）</w:t>
      </w:r>
    </w:p>
    <w:p w14:paraId="7A5071DB" w14:textId="77777777" w:rsidR="00B104D6" w:rsidRDefault="00B104D6" w:rsidP="00B104D6">
      <w:pPr>
        <w:pStyle w:val="affffb"/>
        <w:ind w:firstLine="420"/>
      </w:pPr>
      <w:r>
        <w:rPr>
          <w:rFonts w:hint="eastAsia"/>
        </w:rPr>
        <w:t>a=1.5 m，从释放源到各个方向的距离（半径）为1.5m的范围可划为2区。</w:t>
      </w:r>
    </w:p>
    <w:p w14:paraId="7B2CC8E1" w14:textId="77777777" w:rsidR="00B104D6" w:rsidRDefault="00B104D6" w:rsidP="00B104D6">
      <w:pPr>
        <w:pStyle w:val="affffb"/>
        <w:ind w:firstLine="420"/>
      </w:pPr>
      <w:r>
        <w:rPr>
          <w:rFonts w:hint="eastAsia"/>
        </w:rPr>
        <w:t>按照上述区域划分时，宜满足以下条件：</w:t>
      </w:r>
    </w:p>
    <w:p w14:paraId="0023565B" w14:textId="77777777" w:rsidR="00B104D6" w:rsidRDefault="00B104D6" w:rsidP="00B104D6">
      <w:pPr>
        <w:pStyle w:val="af2"/>
      </w:pPr>
      <w:r>
        <w:rPr>
          <w:rFonts w:hint="eastAsia"/>
        </w:rPr>
        <w:t>保护盖安装工序环节宜设置独立的防护隔离罩；</w:t>
      </w:r>
    </w:p>
    <w:p w14:paraId="66B482D9" w14:textId="77777777" w:rsidR="00B104D6" w:rsidRDefault="00B104D6" w:rsidP="00B104D6">
      <w:pPr>
        <w:pStyle w:val="af2"/>
      </w:pPr>
      <w:r>
        <w:rPr>
          <w:rFonts w:hint="eastAsia"/>
        </w:rPr>
        <w:t>保护盖安装工序环节宜设置通风系统，至少有侧面和底部的通风系统，保持防护隔离罩内负压；</w:t>
      </w:r>
    </w:p>
    <w:p w14:paraId="360CBBF7" w14:textId="77777777" w:rsidR="00B104D6" w:rsidRDefault="00B104D6" w:rsidP="00B104D6">
      <w:pPr>
        <w:pStyle w:val="af2"/>
      </w:pPr>
      <w:r>
        <w:rPr>
          <w:rFonts w:hint="eastAsia"/>
        </w:rPr>
        <w:t>通风系统宜与生产线和推进剂供宜系统联锁互动，通风系统中断时，生产线停止运行并自动关闭推进剂的供应；</w:t>
      </w:r>
    </w:p>
    <w:p w14:paraId="09F6A434" w14:textId="77777777" w:rsidR="00B104D6" w:rsidRDefault="00B104D6" w:rsidP="00B104D6">
      <w:pPr>
        <w:pStyle w:val="af2"/>
        <w:tabs>
          <w:tab w:val="left" w:pos="851"/>
        </w:tabs>
        <w:spacing w:after="160" w:line="278" w:lineRule="auto"/>
      </w:pPr>
      <w:r>
        <w:rPr>
          <w:rFonts w:hint="eastAsia"/>
        </w:rPr>
        <w:t>保护盖安装工序环节宜设置至少1个可燃气体探测器，并定期进行检查维护。</w:t>
      </w:r>
    </w:p>
    <w:p w14:paraId="6E044B66" w14:textId="77777777" w:rsidR="00B104D6" w:rsidRDefault="00B104D6" w:rsidP="00B104D6">
      <w:pPr>
        <w:pStyle w:val="aff4"/>
        <w:spacing w:before="156" w:after="156"/>
      </w:pPr>
      <w:bookmarkStart w:id="98" w:name="_Toc183683229"/>
      <w:bookmarkStart w:id="99" w:name="_Toc11652"/>
      <w:bookmarkStart w:id="100" w:name="_Toc217917268"/>
      <w:r>
        <w:rPr>
          <w:rFonts w:hint="eastAsia"/>
        </w:rPr>
        <w:t>输送带示例</w:t>
      </w:r>
      <w:bookmarkEnd w:id="98"/>
      <w:bookmarkEnd w:id="99"/>
      <w:bookmarkEnd w:id="100"/>
    </w:p>
    <w:p w14:paraId="475C8A4E" w14:textId="35CD693D" w:rsidR="00B104D6" w:rsidRDefault="00B104D6" w:rsidP="00B104D6">
      <w:pPr>
        <w:pStyle w:val="affffb"/>
        <w:ind w:firstLine="420"/>
      </w:pPr>
      <w:r>
        <w:rPr>
          <w:rFonts w:hint="eastAsia"/>
        </w:rPr>
        <w:t>输送带爆炸危险区域划分</w:t>
      </w:r>
      <w:r w:rsidRPr="007B2CF1">
        <w:rPr>
          <w:rFonts w:hint="eastAsia"/>
        </w:rPr>
        <w:t>如图B.</w:t>
      </w:r>
      <w:r>
        <w:rPr>
          <w:rFonts w:hint="eastAsia"/>
        </w:rPr>
        <w:t>10</w:t>
      </w:r>
      <w:r w:rsidRPr="007B2CF1">
        <w:rPr>
          <w:rFonts w:hint="eastAsia"/>
        </w:rPr>
        <w:t>所示。</w:t>
      </w:r>
    </w:p>
    <w:p w14:paraId="08AB05C1" w14:textId="103EF97A" w:rsidR="00B104D6" w:rsidRDefault="003B7EE7" w:rsidP="003B7EE7">
      <w:pPr>
        <w:pStyle w:val="affffb"/>
        <w:ind w:firstLineChars="0" w:firstLine="0"/>
        <w:jc w:val="center"/>
      </w:pPr>
      <w:r>
        <w:rPr>
          <w:rFonts w:hint="eastAsia"/>
        </w:rPr>
        <w:drawing>
          <wp:inline distT="0" distB="0" distL="0" distR="0" wp14:anchorId="59F6CCC6" wp14:editId="281FD028">
            <wp:extent cx="2033053" cy="1911179"/>
            <wp:effectExtent l="0" t="0" r="5715" b="0"/>
            <wp:docPr id="20713950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41225" cy="1918861"/>
                    </a:xfrm>
                    <a:prstGeom prst="rect">
                      <a:avLst/>
                    </a:prstGeom>
                    <a:noFill/>
                    <a:ln>
                      <a:noFill/>
                    </a:ln>
                  </pic:spPr>
                </pic:pic>
              </a:graphicData>
            </a:graphic>
          </wp:inline>
        </w:drawing>
      </w:r>
    </w:p>
    <w:p w14:paraId="6CAD4229" w14:textId="77777777" w:rsidR="003B7EE7" w:rsidRDefault="003B7EE7" w:rsidP="003B7EE7">
      <w:pPr>
        <w:pStyle w:val="af9"/>
        <w:spacing w:before="156" w:after="156" w:line="278" w:lineRule="auto"/>
      </w:pPr>
      <w:r>
        <w:rPr>
          <w:rFonts w:hint="eastAsia"/>
        </w:rPr>
        <w:t>输送带</w:t>
      </w:r>
      <w:r>
        <w:t>示例（未按比例）</w:t>
      </w:r>
    </w:p>
    <w:p w14:paraId="4DD0101C" w14:textId="000CE257" w:rsidR="003B7EE7" w:rsidRDefault="003B7EE7" w:rsidP="003B7EE7">
      <w:pPr>
        <w:pStyle w:val="affffb"/>
        <w:ind w:firstLine="420"/>
      </w:pPr>
      <w:r>
        <w:rPr>
          <w:rFonts w:hint="eastAsia"/>
        </w:rPr>
        <w:t>a=1.5 m，b=1.5 m，从输送带上的释放源到各个方向的距离（半径）为1.5 m的范围可划为2区。</w:t>
      </w:r>
    </w:p>
    <w:p w14:paraId="4206EDB2" w14:textId="77777777" w:rsidR="003B7EE7" w:rsidRDefault="003B7EE7" w:rsidP="003B7EE7">
      <w:pPr>
        <w:pStyle w:val="affffb"/>
        <w:ind w:firstLine="420"/>
      </w:pPr>
      <w:r>
        <w:rPr>
          <w:rFonts w:hint="eastAsia"/>
        </w:rPr>
        <w:t>输送带爆炸危险区域划分不包括放罐理罐、促动器安装、</w:t>
      </w:r>
      <w:r w:rsidRPr="00D52479">
        <w:rPr>
          <w:rFonts w:hint="eastAsia"/>
        </w:rPr>
        <w:t>保护盖安装</w:t>
      </w:r>
      <w:r>
        <w:rPr>
          <w:rFonts w:hint="eastAsia"/>
        </w:rPr>
        <w:t>、贴管、产品喷码、贴标、热收缩膜包装、装箱、封箱、打包装带、堆码和垫底工序的输送带。</w:t>
      </w:r>
    </w:p>
    <w:p w14:paraId="1ED9923E" w14:textId="77777777" w:rsidR="003B7EE7" w:rsidRDefault="003B7EE7" w:rsidP="003B7EE7">
      <w:pPr>
        <w:pStyle w:val="aff4"/>
        <w:spacing w:before="156" w:after="156"/>
      </w:pPr>
      <w:bookmarkStart w:id="101" w:name="_Toc217917269"/>
      <w:r>
        <w:rPr>
          <w:rFonts w:hint="eastAsia"/>
        </w:rPr>
        <w:t>典型</w:t>
      </w:r>
      <w:r w:rsidRPr="00D26F4D">
        <w:rPr>
          <w:rFonts w:hint="eastAsia"/>
        </w:rPr>
        <w:t>气雾剂生产作业场所</w:t>
      </w:r>
      <w:r>
        <w:rPr>
          <w:rFonts w:hint="eastAsia"/>
        </w:rPr>
        <w:t>爆炸</w:t>
      </w:r>
      <w:r>
        <w:t>危险区域划分</w:t>
      </w:r>
      <w:r>
        <w:rPr>
          <w:rFonts w:hint="eastAsia"/>
        </w:rPr>
        <w:t>示例</w:t>
      </w:r>
      <w:bookmarkEnd w:id="101"/>
    </w:p>
    <w:p w14:paraId="6A0CC4CA" w14:textId="1BCC206E" w:rsidR="003B7EE7" w:rsidRDefault="003B7EE7" w:rsidP="003B7EE7">
      <w:pPr>
        <w:pStyle w:val="affffb"/>
        <w:ind w:firstLine="420"/>
      </w:pPr>
      <w:r>
        <w:rPr>
          <w:rFonts w:hint="eastAsia"/>
        </w:rPr>
        <w:t>典型</w:t>
      </w:r>
      <w:r w:rsidRPr="00D26F4D">
        <w:rPr>
          <w:rFonts w:hint="eastAsia"/>
        </w:rPr>
        <w:t>气雾剂生产作业场所</w:t>
      </w:r>
      <w:r>
        <w:rPr>
          <w:rFonts w:hint="eastAsia"/>
        </w:rPr>
        <w:t>爆炸</w:t>
      </w:r>
      <w:r>
        <w:t>危险区域划分</w:t>
      </w:r>
      <w:r>
        <w:rPr>
          <w:rFonts w:hint="eastAsia"/>
        </w:rPr>
        <w:t>如图B.11所示。</w:t>
      </w:r>
    </w:p>
    <w:p w14:paraId="45266AFE" w14:textId="2E05E6D0" w:rsidR="003B7EE7" w:rsidRDefault="003B7EE7" w:rsidP="003B7EE7">
      <w:pPr>
        <w:pStyle w:val="affffb"/>
        <w:ind w:firstLineChars="0" w:firstLine="0"/>
        <w:jc w:val="center"/>
      </w:pPr>
      <w:r w:rsidRPr="003B7EE7">
        <w:drawing>
          <wp:inline distT="0" distB="0" distL="0" distR="0" wp14:anchorId="75EC64C5" wp14:editId="196DEBAB">
            <wp:extent cx="4128238" cy="4296033"/>
            <wp:effectExtent l="0" t="0" r="5715" b="9525"/>
            <wp:docPr id="7716201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4525" b="2908"/>
                    <a:stretch>
                      <a:fillRect/>
                    </a:stretch>
                  </pic:blipFill>
                  <pic:spPr bwMode="auto">
                    <a:xfrm>
                      <a:off x="0" y="0"/>
                      <a:ext cx="4149419" cy="4318075"/>
                    </a:xfrm>
                    <a:prstGeom prst="rect">
                      <a:avLst/>
                    </a:prstGeom>
                    <a:noFill/>
                    <a:ln>
                      <a:noFill/>
                    </a:ln>
                    <a:extLst>
                      <a:ext uri="{53640926-AAD7-44D8-BBD7-CCE9431645EC}">
                        <a14:shadowObscured xmlns:a14="http://schemas.microsoft.com/office/drawing/2010/main"/>
                      </a:ext>
                    </a:extLst>
                  </pic:spPr>
                </pic:pic>
              </a:graphicData>
            </a:graphic>
          </wp:inline>
        </w:drawing>
      </w:r>
    </w:p>
    <w:p w14:paraId="32C7143E" w14:textId="77777777" w:rsidR="00DF3E9D" w:rsidRDefault="003B7EE7" w:rsidP="003B7EE7">
      <w:pPr>
        <w:pStyle w:val="af9"/>
        <w:spacing w:before="156" w:after="156"/>
        <w:sectPr w:rsidR="00DF3E9D" w:rsidSect="00C81300">
          <w:pgSz w:w="11906" w:h="16838" w:code="9"/>
          <w:pgMar w:top="1928" w:right="1134" w:bottom="1134" w:left="1134" w:header="1418" w:footer="1134" w:gutter="284"/>
          <w:cols w:space="425"/>
          <w:formProt w:val="0"/>
          <w:docGrid w:type="lines" w:linePitch="312"/>
        </w:sectPr>
      </w:pPr>
      <w:r w:rsidRPr="00D26F4D">
        <w:rPr>
          <w:rFonts w:hint="eastAsia"/>
        </w:rPr>
        <w:t>典型气雾剂生产作业场所爆炸危险区域划分</w:t>
      </w:r>
      <w:r>
        <w:t>示例（未按比例）</w:t>
      </w:r>
    </w:p>
    <w:p w14:paraId="69C40C97" w14:textId="197599AD" w:rsidR="003B7EE7" w:rsidRDefault="003B7EE7" w:rsidP="00DF3E9D">
      <w:pPr>
        <w:pStyle w:val="af8"/>
      </w:pPr>
    </w:p>
    <w:p w14:paraId="115B3008" w14:textId="77777777" w:rsidR="00DF3E9D" w:rsidRDefault="00DF3E9D" w:rsidP="00DF3E9D">
      <w:pPr>
        <w:pStyle w:val="afe"/>
      </w:pPr>
    </w:p>
    <w:p w14:paraId="6187DCC5" w14:textId="6EBBFE9C" w:rsidR="00DF3E9D" w:rsidRDefault="00DF3E9D" w:rsidP="00DF3E9D">
      <w:pPr>
        <w:pStyle w:val="aff3"/>
        <w:spacing w:after="156"/>
      </w:pPr>
      <w:r>
        <w:br/>
      </w:r>
      <w:bookmarkStart w:id="102" w:name="_Toc217917270"/>
      <w:r>
        <w:rPr>
          <w:rFonts w:hint="eastAsia"/>
        </w:rPr>
        <w:t>（规范性）</w:t>
      </w:r>
      <w:r>
        <w:br/>
      </w:r>
      <w:r>
        <w:rPr>
          <w:rFonts w:hint="eastAsia"/>
        </w:rPr>
        <w:t>危险化学品气雾剂推进剂充填室布局</w:t>
      </w:r>
      <w:bookmarkEnd w:id="102"/>
    </w:p>
    <w:p w14:paraId="5AA0538D" w14:textId="4BB95B62" w:rsidR="00DF3E9D" w:rsidRDefault="00DF3E9D" w:rsidP="00DF3E9D">
      <w:pPr>
        <w:pStyle w:val="affffb"/>
        <w:ind w:firstLine="420"/>
      </w:pPr>
      <w:r>
        <w:rPr>
          <w:rFonts w:hint="eastAsia"/>
        </w:rPr>
        <w:t>根据充填室的与车间的相对布置情况，</w:t>
      </w:r>
      <w:r w:rsidR="00080919">
        <w:rPr>
          <w:rFonts w:hint="eastAsia"/>
        </w:rPr>
        <w:t>气雾剂推进剂充填室布局有三种方案，其中</w:t>
      </w:r>
      <w:r w:rsidRPr="00DF3E9D">
        <w:rPr>
          <w:rFonts w:hint="eastAsia"/>
        </w:rPr>
        <w:t>方案</w:t>
      </w:r>
      <w:r w:rsidR="00080919" w:rsidRPr="00DF3E9D">
        <w:rPr>
          <w:rFonts w:hint="eastAsia"/>
        </w:rPr>
        <w:t>A</w:t>
      </w:r>
      <w:r w:rsidR="00080919">
        <w:rPr>
          <w:rFonts w:hint="eastAsia"/>
        </w:rPr>
        <w:t>为车间墙</w:t>
      </w:r>
      <w:r>
        <w:rPr>
          <w:rFonts w:hint="eastAsia"/>
        </w:rPr>
        <w:t>外设充填室</w:t>
      </w:r>
      <w:r w:rsidR="00080919">
        <w:rPr>
          <w:rFonts w:hint="eastAsia"/>
        </w:rPr>
        <w:t>；方案B为靠车间墙设充填室；方案C为车间内设充填室。三种布局方案示意如图C.1所示。</w:t>
      </w:r>
    </w:p>
    <w:p w14:paraId="5A6FAC35" w14:textId="6A7D0E73" w:rsidR="00DF3E9D" w:rsidRPr="00DF3E9D" w:rsidRDefault="00DF3E9D" w:rsidP="00DF3E9D">
      <w:pPr>
        <w:pStyle w:val="affffb"/>
        <w:ind w:firstLine="420"/>
        <w:jc w:val="center"/>
      </w:pPr>
      <w:r>
        <w:drawing>
          <wp:inline distT="0" distB="0" distL="0" distR="0" wp14:anchorId="4CC44886" wp14:editId="0ABC1923">
            <wp:extent cx="3599936" cy="838774"/>
            <wp:effectExtent l="0" t="0" r="635" b="0"/>
            <wp:docPr id="1" name="图片 1" descr="J:\Documents\WeChat Files\wxid_a68n1dckpihv11\FileStorage\Temp\3ce6e52b1448a804d2d800d85f0a9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J:\Documents\WeChat Files\wxid_a68n1dckpihv11\FileStorage\Temp\3ce6e52b1448a804d2d800d85f0a95a.jpg"/>
                    <pic:cNvPicPr>
                      <a:picLocks noChangeAspect="1" noChangeArrowheads="1"/>
                    </pic:cNvPicPr>
                  </pic:nvPicPr>
                  <pic:blipFill>
                    <a:blip r:embed="rId26" cstate="print">
                      <a:extLst>
                        <a:ext uri="{28A0092B-C50C-407E-A947-70E740481C1C}">
                          <a14:useLocalDpi xmlns:a14="http://schemas.microsoft.com/office/drawing/2010/main" val="0"/>
                        </a:ext>
                      </a:extLst>
                    </a:blip>
                    <a:srcRect t="8721" b="9729"/>
                    <a:stretch>
                      <a:fillRect/>
                    </a:stretch>
                  </pic:blipFill>
                  <pic:spPr>
                    <a:xfrm>
                      <a:off x="0" y="0"/>
                      <a:ext cx="3631825" cy="846204"/>
                    </a:xfrm>
                    <a:prstGeom prst="rect">
                      <a:avLst/>
                    </a:prstGeom>
                    <a:noFill/>
                    <a:ln>
                      <a:noFill/>
                    </a:ln>
                  </pic:spPr>
                </pic:pic>
              </a:graphicData>
            </a:graphic>
          </wp:inline>
        </w:drawing>
      </w:r>
    </w:p>
    <w:p w14:paraId="0B7DDC3C" w14:textId="4E1F3E94" w:rsidR="00DF3E9D" w:rsidRDefault="00080919" w:rsidP="00080919">
      <w:pPr>
        <w:pStyle w:val="affffffffff9"/>
        <w:numPr>
          <w:ilvl w:val="0"/>
          <w:numId w:val="0"/>
        </w:numPr>
        <w:jc w:val="center"/>
      </w:pPr>
      <w:r>
        <w:rPr>
          <w:rFonts w:hint="eastAsia"/>
        </w:rPr>
        <w:t>（a）方案A</w:t>
      </w:r>
    </w:p>
    <w:p w14:paraId="6C4045A3" w14:textId="77777777" w:rsidR="00080919" w:rsidRDefault="00080919" w:rsidP="00080919">
      <w:pPr>
        <w:pStyle w:val="affffb"/>
        <w:ind w:firstLineChars="0" w:firstLine="0"/>
        <w:jc w:val="center"/>
      </w:pPr>
      <w:r>
        <w:drawing>
          <wp:inline distT="0" distB="0" distL="0" distR="0" wp14:anchorId="59FFCC3C" wp14:editId="4E36BF3B">
            <wp:extent cx="1693111" cy="873211"/>
            <wp:effectExtent l="0" t="0" r="2540" b="3175"/>
            <wp:docPr id="19" name="图片 19" descr="J:\Documents\WeChat Files\wxid_a68n1dckpihv11\FileStorage\Temp\da13d9d139261164dc65958aa4bdb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J:\Documents\WeChat Files\wxid_a68n1dckpihv11\FileStorage\Temp\da13d9d139261164dc65958aa4bdb4e.jpg"/>
                    <pic:cNvPicPr>
                      <a:picLocks noChangeAspect="1" noChangeArrowheads="1"/>
                    </pic:cNvPicPr>
                  </pic:nvPicPr>
                  <pic:blipFill>
                    <a:blip r:embed="rId27" cstate="print">
                      <a:extLst>
                        <a:ext uri="{28A0092B-C50C-407E-A947-70E740481C1C}">
                          <a14:useLocalDpi xmlns:a14="http://schemas.microsoft.com/office/drawing/2010/main" val="0"/>
                        </a:ext>
                      </a:extLst>
                    </a:blip>
                    <a:srcRect l="6970" t="8006" r="9090" b="10248"/>
                    <a:stretch>
                      <a:fillRect/>
                    </a:stretch>
                  </pic:blipFill>
                  <pic:spPr>
                    <a:xfrm>
                      <a:off x="0" y="0"/>
                      <a:ext cx="1704233" cy="878947"/>
                    </a:xfrm>
                    <a:prstGeom prst="rect">
                      <a:avLst/>
                    </a:prstGeom>
                    <a:noFill/>
                    <a:ln>
                      <a:noFill/>
                    </a:ln>
                  </pic:spPr>
                </pic:pic>
              </a:graphicData>
            </a:graphic>
          </wp:inline>
        </w:drawing>
      </w:r>
    </w:p>
    <w:p w14:paraId="78BC798B" w14:textId="77777777" w:rsidR="00080919" w:rsidRDefault="00080919" w:rsidP="00080919">
      <w:pPr>
        <w:pStyle w:val="affffb"/>
        <w:ind w:firstLineChars="0" w:firstLine="0"/>
        <w:jc w:val="center"/>
      </w:pPr>
      <w:r>
        <w:rPr>
          <w:rFonts w:hint="eastAsia"/>
        </w:rPr>
        <w:t>（b）方案B</w:t>
      </w:r>
    </w:p>
    <w:p w14:paraId="718FC919" w14:textId="77777777" w:rsidR="00080919" w:rsidRDefault="00080919" w:rsidP="00080919">
      <w:pPr>
        <w:pStyle w:val="affffb"/>
        <w:ind w:firstLineChars="0" w:firstLine="0"/>
        <w:jc w:val="center"/>
      </w:pPr>
      <w:r>
        <w:drawing>
          <wp:inline distT="0" distB="0" distL="0" distR="0" wp14:anchorId="68FE340A" wp14:editId="1B315280">
            <wp:extent cx="1635211" cy="844725"/>
            <wp:effectExtent l="0" t="0" r="3175" b="0"/>
            <wp:docPr id="6" name="图片 6" descr="J:\Documents\WeChat Files\wxid_a68n1dckpihv11\FileStorage\Temp\6c2e187294cffd2050092fb416f7f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J:\Documents\WeChat Files\wxid_a68n1dckpihv11\FileStorage\Temp\6c2e187294cffd2050092fb416f7f69.jpg"/>
                    <pic:cNvPicPr>
                      <a:picLocks noChangeAspect="1" noChangeArrowheads="1"/>
                    </pic:cNvPicPr>
                  </pic:nvPicPr>
                  <pic:blipFill>
                    <a:blip r:embed="rId28" cstate="print">
                      <a:extLst>
                        <a:ext uri="{28A0092B-C50C-407E-A947-70E740481C1C}">
                          <a14:useLocalDpi xmlns:a14="http://schemas.microsoft.com/office/drawing/2010/main" val="0"/>
                        </a:ext>
                      </a:extLst>
                    </a:blip>
                    <a:srcRect l="11408" t="16604" r="12385" b="14016"/>
                    <a:stretch>
                      <a:fillRect/>
                    </a:stretch>
                  </pic:blipFill>
                  <pic:spPr>
                    <a:xfrm>
                      <a:off x="0" y="0"/>
                      <a:ext cx="1647624" cy="851137"/>
                    </a:xfrm>
                    <a:prstGeom prst="rect">
                      <a:avLst/>
                    </a:prstGeom>
                    <a:noFill/>
                    <a:ln>
                      <a:noFill/>
                    </a:ln>
                  </pic:spPr>
                </pic:pic>
              </a:graphicData>
            </a:graphic>
          </wp:inline>
        </w:drawing>
      </w:r>
    </w:p>
    <w:p w14:paraId="3422AACF" w14:textId="77777777" w:rsidR="00080919" w:rsidRDefault="00080919" w:rsidP="00080919">
      <w:pPr>
        <w:pStyle w:val="affffb"/>
        <w:ind w:firstLineChars="0" w:firstLine="0"/>
        <w:jc w:val="center"/>
      </w:pPr>
      <w:r>
        <w:rPr>
          <w:rFonts w:hint="eastAsia"/>
        </w:rPr>
        <w:t>（c）方案C</w:t>
      </w:r>
    </w:p>
    <w:p w14:paraId="61567FF6" w14:textId="2BF26E41" w:rsidR="00DF3E9D" w:rsidRDefault="00080919" w:rsidP="00133066">
      <w:pPr>
        <w:pStyle w:val="af9"/>
        <w:spacing w:before="156" w:after="156" w:line="278" w:lineRule="auto"/>
        <w:ind w:firstLine="420"/>
      </w:pPr>
      <w:r>
        <w:rPr>
          <w:rFonts w:hint="eastAsia"/>
        </w:rPr>
        <w:t>危险化学品气雾推进剂充填室布局方案</w:t>
      </w:r>
    </w:p>
    <w:p w14:paraId="309F3B30" w14:textId="77777777" w:rsidR="00E04D13" w:rsidRDefault="00E04D13" w:rsidP="00E04D13">
      <w:pPr>
        <w:pStyle w:val="affffb"/>
        <w:ind w:firstLine="420"/>
        <w:sectPr w:rsidR="00E04D13" w:rsidSect="00C81300">
          <w:pgSz w:w="11906" w:h="16838" w:code="9"/>
          <w:pgMar w:top="1928" w:right="1134" w:bottom="1134" w:left="1134" w:header="1418" w:footer="1134" w:gutter="284"/>
          <w:cols w:space="425"/>
          <w:formProt w:val="0"/>
          <w:docGrid w:type="lines" w:linePitch="312"/>
        </w:sectPr>
      </w:pPr>
      <w:bookmarkStart w:id="103" w:name="BookMark6"/>
      <w:bookmarkEnd w:id="76"/>
    </w:p>
    <w:p w14:paraId="1914E2B2" w14:textId="2577F8AF" w:rsidR="00E04D13" w:rsidRDefault="00E04D13" w:rsidP="00E04D13">
      <w:pPr>
        <w:pStyle w:val="afffff2"/>
        <w:spacing w:after="156"/>
      </w:pPr>
      <w:bookmarkStart w:id="104" w:name="_Toc217917271"/>
      <w:r w:rsidRPr="00E04D13">
        <w:rPr>
          <w:rFonts w:hint="eastAsia"/>
          <w:spacing w:val="105"/>
        </w:rPr>
        <w:t>参考文</w:t>
      </w:r>
      <w:r>
        <w:rPr>
          <w:rFonts w:hint="eastAsia"/>
        </w:rPr>
        <w:t>献</w:t>
      </w:r>
      <w:bookmarkEnd w:id="104"/>
    </w:p>
    <w:p w14:paraId="4BFADC79" w14:textId="77777777" w:rsidR="00E04D13" w:rsidRDefault="00E04D13" w:rsidP="00E04D13">
      <w:pPr>
        <w:pStyle w:val="affffb"/>
        <w:ind w:firstLine="420"/>
      </w:pPr>
      <w:r>
        <w:rPr>
          <w:rFonts w:hint="eastAsia"/>
        </w:rPr>
        <w:t>[</w:t>
      </w:r>
      <w:r>
        <w:t>1]</w:t>
      </w:r>
      <w:r>
        <w:rPr>
          <w:rFonts w:hint="eastAsia"/>
        </w:rPr>
        <w:t xml:space="preserve"> 《危险化学品安全管理条例》（国务院令第591号）</w:t>
      </w:r>
    </w:p>
    <w:p w14:paraId="71E8EC84" w14:textId="77777777" w:rsidR="00E04D13" w:rsidRDefault="00E04D13" w:rsidP="00E04D13">
      <w:pPr>
        <w:pStyle w:val="affffb"/>
        <w:ind w:firstLine="420"/>
      </w:pPr>
      <w:r>
        <w:rPr>
          <w:rFonts w:hint="eastAsia"/>
        </w:rPr>
        <w:t>[2</w:t>
      </w:r>
      <w:r>
        <w:t>]</w:t>
      </w:r>
      <w:r>
        <w:rPr>
          <w:rFonts w:hint="eastAsia"/>
        </w:rPr>
        <w:t xml:space="preserve"> 《关于进一步加强危险化学品建设项目安全设计管理的通知》（安监总管三〔2013〕76号）</w:t>
      </w:r>
    </w:p>
    <w:p w14:paraId="0FC666A3" w14:textId="77777777" w:rsidR="00E04D13" w:rsidRDefault="00E04D13" w:rsidP="00E04D13">
      <w:pPr>
        <w:pStyle w:val="affffb"/>
        <w:ind w:firstLine="420"/>
      </w:pPr>
      <w:r>
        <w:rPr>
          <w:rFonts w:hint="eastAsia"/>
        </w:rPr>
        <w:t>[3</w:t>
      </w:r>
      <w:r>
        <w:t>]</w:t>
      </w:r>
      <w:r>
        <w:rPr>
          <w:rFonts w:hint="eastAsia"/>
        </w:rPr>
        <w:t xml:space="preserve"> 《关于推进应急管理信息化建设的意见》（应急〔2021〕31号）</w:t>
      </w:r>
    </w:p>
    <w:p w14:paraId="495C373B" w14:textId="77777777" w:rsidR="00E04D13" w:rsidRDefault="00E04D13" w:rsidP="00E04D13">
      <w:pPr>
        <w:pStyle w:val="affffb"/>
        <w:ind w:firstLine="420"/>
      </w:pPr>
      <w:bookmarkStart w:id="105" w:name="OLE_LINK18"/>
      <w:bookmarkStart w:id="106" w:name="OLE_LINK19"/>
      <w:r>
        <w:rPr>
          <w:rFonts w:hint="eastAsia"/>
        </w:rPr>
        <w:t>[4</w:t>
      </w:r>
      <w:r>
        <w:t>]</w:t>
      </w:r>
      <w:bookmarkEnd w:id="105"/>
      <w:bookmarkEnd w:id="106"/>
      <w:r>
        <w:rPr>
          <w:rFonts w:hint="eastAsia"/>
        </w:rPr>
        <w:t xml:space="preserve"> 《广东省化工和危险化学品安全生产治本攻坚三年行动实施方案（2024-2024年）》（粤应急〔2024〕13号）</w:t>
      </w:r>
    </w:p>
    <w:p w14:paraId="71BFBF3A" w14:textId="6A11DBCD" w:rsidR="00E04D13" w:rsidRDefault="00E04D13" w:rsidP="00E04D13">
      <w:pPr>
        <w:pStyle w:val="affffb"/>
        <w:ind w:firstLine="420"/>
      </w:pPr>
      <w:r>
        <w:rPr>
          <w:rFonts w:hint="eastAsia"/>
        </w:rPr>
        <w:t>[5</w:t>
      </w:r>
      <w:r>
        <w:t>]</w:t>
      </w:r>
      <w:r>
        <w:rPr>
          <w:rFonts w:hint="eastAsia"/>
        </w:rPr>
        <w:t xml:space="preserve"> FEA </w:t>
      </w:r>
      <w:r w:rsidR="006C7D39" w:rsidRPr="004E3E2A">
        <w:t>Basic Safety Guidelines Manufacturing 4th edition</w:t>
      </w:r>
    </w:p>
    <w:p w14:paraId="672C5FB4" w14:textId="2DCD98DD" w:rsidR="00E04D13" w:rsidRDefault="00E04D13" w:rsidP="00E04D13">
      <w:pPr>
        <w:pStyle w:val="affffb"/>
        <w:ind w:firstLine="420"/>
      </w:pPr>
      <w:r>
        <w:t>[</w:t>
      </w:r>
      <w:r>
        <w:rPr>
          <w:rFonts w:hint="eastAsia"/>
        </w:rPr>
        <w:t>6</w:t>
      </w:r>
      <w:r>
        <w:t>]</w:t>
      </w:r>
      <w:r>
        <w:rPr>
          <w:rFonts w:hint="eastAsia"/>
        </w:rPr>
        <w:t xml:space="preserve"> NFPA 30B</w:t>
      </w:r>
      <w:r w:rsidRPr="00E04D13">
        <w:t>-2023</w:t>
      </w:r>
      <w:r>
        <w:rPr>
          <w:rFonts w:hint="eastAsia"/>
        </w:rPr>
        <w:t xml:space="preserve"> </w:t>
      </w:r>
      <w:r w:rsidRPr="00E04D13">
        <w:t>Code for the Manufacture and Storage of Aerosol Products</w:t>
      </w:r>
    </w:p>
    <w:p w14:paraId="09DC1E23" w14:textId="4A4E9414" w:rsidR="008B1BD0" w:rsidRPr="00E04D13" w:rsidRDefault="008B1BD0" w:rsidP="008B1BD0">
      <w:pPr>
        <w:pStyle w:val="affffb"/>
        <w:ind w:firstLineChars="0" w:firstLine="0"/>
        <w:jc w:val="center"/>
      </w:pPr>
      <w:bookmarkStart w:id="107" w:name="BookMark8"/>
      <w:bookmarkEnd w:id="103"/>
      <w:r>
        <w:drawing>
          <wp:inline distT="0" distB="0" distL="0" distR="0" wp14:anchorId="4393A8B8" wp14:editId="4587F893">
            <wp:extent cx="1485900" cy="317500"/>
            <wp:effectExtent l="0" t="0" r="0" b="6350"/>
            <wp:docPr id="882023536" name="图片 3"/>
            <wp:cNvGraphicFramePr/>
            <a:graphic xmlns:a="http://schemas.openxmlformats.org/drawingml/2006/main">
              <a:graphicData uri="http://schemas.openxmlformats.org/drawingml/2006/picture">
                <pic:pic xmlns:pic="http://schemas.openxmlformats.org/drawingml/2006/picture">
                  <pic:nvPicPr>
                    <pic:cNvPr id="882023536" name=""/>
                    <pic:cNvPicPr/>
                  </pic:nvPicPr>
                  <pic:blipFill>
                    <a:blip r:embed="rId2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07"/>
    </w:p>
    <w:sectPr w:rsidR="008B1BD0" w:rsidRPr="00E04D13" w:rsidSect="00C81300">
      <w:pgSz w:w="11906" w:h="16838" w:code="9"/>
      <w:pgMar w:top="1928"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A8833" w14:textId="77777777" w:rsidR="00991E63" w:rsidRDefault="00991E63" w:rsidP="00D86DB7">
      <w:r>
        <w:separator/>
      </w:r>
    </w:p>
    <w:p w14:paraId="4517C5EC" w14:textId="77777777" w:rsidR="00991E63" w:rsidRDefault="00991E63"/>
    <w:p w14:paraId="3C10CDD2" w14:textId="77777777" w:rsidR="00991E63" w:rsidRDefault="00991E63"/>
  </w:endnote>
  <w:endnote w:type="continuationSeparator" w:id="0">
    <w:p w14:paraId="0F0483A4" w14:textId="77777777" w:rsidR="00991E63" w:rsidRDefault="00991E63" w:rsidP="00D86DB7">
      <w:r>
        <w:continuationSeparator/>
      </w:r>
    </w:p>
    <w:p w14:paraId="3B3AECBE" w14:textId="77777777" w:rsidR="00991E63" w:rsidRDefault="00991E63"/>
    <w:p w14:paraId="5E98F769" w14:textId="77777777" w:rsidR="00991E63" w:rsidRDefault="00991E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999C4" w14:textId="77777777"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61093" w14:textId="77777777" w:rsidR="00E77A03" w:rsidRPr="00324EDD" w:rsidRDefault="00E77A03"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4B01E" w14:textId="76DB6A55" w:rsidR="000C57D6" w:rsidRDefault="000C57D6" w:rsidP="00C94DF2">
    <w:pPr>
      <w:pStyle w:val="affff8"/>
    </w:pPr>
    <w:r>
      <w:fldChar w:fldCharType="begin"/>
    </w:r>
    <w:r>
      <w:instrText>PAGE   \* MERGEFORMAT</w:instrText>
    </w:r>
    <w:r>
      <w:fldChar w:fldCharType="separate"/>
    </w:r>
    <w:r w:rsidR="009C6B5E" w:rsidRPr="009C6B5E">
      <w:rPr>
        <w:noProof/>
        <w:lang w:val="zh-CN"/>
      </w:rPr>
      <w:t>II</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6F51C" w14:textId="77777777" w:rsidR="00991E63" w:rsidRDefault="00991E63" w:rsidP="00D86DB7">
      <w:r>
        <w:separator/>
      </w:r>
    </w:p>
  </w:footnote>
  <w:footnote w:type="continuationSeparator" w:id="0">
    <w:p w14:paraId="3814E62C" w14:textId="77777777" w:rsidR="00991E63" w:rsidRDefault="00991E63" w:rsidP="00D86DB7">
      <w:r>
        <w:continuationSeparator/>
      </w:r>
    </w:p>
    <w:p w14:paraId="14CF01D9" w14:textId="77777777" w:rsidR="00991E63" w:rsidRDefault="00991E63"/>
    <w:p w14:paraId="6486AFD5" w14:textId="77777777" w:rsidR="00991E63" w:rsidRDefault="00991E6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CCCEF" w14:textId="77777777"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D61C8" w14:textId="77777777" w:rsidR="00145D9D" w:rsidRPr="00324EDD" w:rsidRDefault="00145D9D"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296D5" w14:textId="77777777" w:rsidR="00714F58" w:rsidRPr="005F4712" w:rsidRDefault="00714F58" w:rsidP="00714F58">
    <w:pPr>
      <w:pStyle w:val="afff9"/>
      <w:jc w:val="right"/>
      <w:rPr>
        <w:lang w:val="fr-FR"/>
      </w:rPr>
    </w:pPr>
    <w:r>
      <w:fldChar w:fldCharType="begin"/>
    </w:r>
    <w:r w:rsidRPr="005F4712">
      <w:rPr>
        <w:lang w:val="fr-FR"/>
      </w:rPr>
      <w:instrText xml:space="preserve"> STYLEREF  </w:instrText>
    </w:r>
    <w:r>
      <w:instrText>标准文件</w:instrText>
    </w:r>
    <w:r w:rsidRPr="005F4712">
      <w:rPr>
        <w:lang w:val="fr-FR"/>
      </w:rPr>
      <w:instrText>_</w:instrText>
    </w:r>
    <w:r>
      <w:instrText>文件编号</w:instrText>
    </w:r>
    <w:r w:rsidRPr="005F4712">
      <w:rPr>
        <w:lang w:val="fr-FR"/>
      </w:rPr>
      <w:instrText xml:space="preserve">  \* MERGEFORMAT </w:instrText>
    </w:r>
    <w:r>
      <w:fldChar w:fldCharType="separate"/>
    </w:r>
    <w:r w:rsidR="00CA5F4B">
      <w:rPr>
        <w:noProof/>
        <w:lang w:val="fr-FR"/>
      </w:rPr>
      <w:t>DB XX/T XXXX—XXXX</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59E9B" w14:textId="472A7453" w:rsidR="00D84FA1" w:rsidRPr="00D84FA1" w:rsidRDefault="00D84FA1" w:rsidP="00A2271D">
    <w:pPr>
      <w:pStyle w:val="afffff0"/>
    </w:pPr>
    <w:r>
      <w:fldChar w:fldCharType="begin"/>
    </w:r>
    <w:r>
      <w:instrText xml:space="preserve"> STYLEREF  标准文件_文件编号  \* MERGEFORMAT </w:instrText>
    </w:r>
    <w:r>
      <w:fldChar w:fldCharType="separate"/>
    </w:r>
    <w:r w:rsidR="009C6B5E">
      <w:t>DB XX/T XXXX</w:t>
    </w:r>
    <w:r w:rsidR="009C6B5E">
      <w:t>—</w:t>
    </w:r>
    <w:r w:rsidR="009C6B5E">
      <w:t>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EE098BC"/>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64A6A3C"/>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03E6F85E"/>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14788DE8"/>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3B1E595C"/>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F21CA29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9F2CF9B2"/>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6974EF3C"/>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98C2EE34"/>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9AFE7BCA"/>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9CE0CC44"/>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A1AF7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76A4F106"/>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86DADC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07E64A72"/>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C58C42CC"/>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EC7C0D34"/>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0CC2F2B8"/>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DCEC092A"/>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44622F9"/>
    <w:multiLevelType w:val="multilevel"/>
    <w:tmpl w:val="FE3CC7D6"/>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1" w15:restartNumberingAfterBreak="0">
    <w:nsid w:val="646260FA"/>
    <w:multiLevelType w:val="multilevel"/>
    <w:tmpl w:val="EF5ADDA6"/>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654A26C9"/>
    <w:multiLevelType w:val="multilevel"/>
    <w:tmpl w:val="8F90FEA6"/>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9506ABF"/>
    <w:multiLevelType w:val="multilevel"/>
    <w:tmpl w:val="2C506C96"/>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hybridMultilevel"/>
    <w:tmpl w:val="D2B86C3E"/>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CE42AC1"/>
    <w:multiLevelType w:val="hybridMultilevel"/>
    <w:tmpl w:val="F4A640A8"/>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EA2025"/>
    <w:multiLevelType w:val="multilevel"/>
    <w:tmpl w:val="6C800AEE"/>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8" w15:restartNumberingAfterBreak="0">
    <w:nsid w:val="6DBF04F4"/>
    <w:multiLevelType w:val="multilevel"/>
    <w:tmpl w:val="898E6EE0"/>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9" w15:restartNumberingAfterBreak="0">
    <w:nsid w:val="6DF35F19"/>
    <w:multiLevelType w:val="multilevel"/>
    <w:tmpl w:val="E60631FC"/>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0" w15:restartNumberingAfterBreak="0">
    <w:nsid w:val="76933334"/>
    <w:multiLevelType w:val="hybridMultilevel"/>
    <w:tmpl w:val="26B44FA2"/>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0"/>
  </w:num>
  <w:num w:numId="3">
    <w:abstractNumId w:val="5"/>
  </w:num>
  <w:num w:numId="4">
    <w:abstractNumId w:val="18"/>
  </w:num>
  <w:num w:numId="5">
    <w:abstractNumId w:val="13"/>
  </w:num>
  <w:num w:numId="6">
    <w:abstractNumId w:val="23"/>
  </w:num>
  <w:num w:numId="7">
    <w:abstractNumId w:val="8"/>
  </w:num>
  <w:num w:numId="8">
    <w:abstractNumId w:val="9"/>
  </w:num>
  <w:num w:numId="9">
    <w:abstractNumId w:val="16"/>
  </w:num>
  <w:num w:numId="10">
    <w:abstractNumId w:val="24"/>
  </w:num>
  <w:num w:numId="11">
    <w:abstractNumId w:val="4"/>
  </w:num>
  <w:num w:numId="12">
    <w:abstractNumId w:val="14"/>
  </w:num>
  <w:num w:numId="13">
    <w:abstractNumId w:val="25"/>
  </w:num>
  <w:num w:numId="14">
    <w:abstractNumId w:val="11"/>
  </w:num>
  <w:num w:numId="15">
    <w:abstractNumId w:val="6"/>
  </w:num>
  <w:num w:numId="16">
    <w:abstractNumId w:val="10"/>
  </w:num>
  <w:num w:numId="17">
    <w:abstractNumId w:val="22"/>
  </w:num>
  <w:num w:numId="18">
    <w:abstractNumId w:val="3"/>
  </w:num>
  <w:num w:numId="19">
    <w:abstractNumId w:val="7"/>
  </w:num>
  <w:num w:numId="20">
    <w:abstractNumId w:val="19"/>
  </w:num>
  <w:num w:numId="21">
    <w:abstractNumId w:val="21"/>
  </w:num>
  <w:num w:numId="22">
    <w:abstractNumId w:val="17"/>
  </w:num>
  <w:num w:numId="23">
    <w:abstractNumId w:val="29"/>
  </w:num>
  <w:num w:numId="24">
    <w:abstractNumId w:val="15"/>
  </w:num>
  <w:num w:numId="25">
    <w:abstractNumId w:val="28"/>
  </w:num>
  <w:num w:numId="26">
    <w:abstractNumId w:val="2"/>
  </w:num>
  <w:num w:numId="27">
    <w:abstractNumId w:val="12"/>
  </w:num>
  <w:num w:numId="28">
    <w:abstractNumId w:val="30"/>
  </w:num>
  <w:num w:numId="29">
    <w:abstractNumId w:val="27"/>
  </w:num>
  <w:num w:numId="30">
    <w:abstractNumId w:val="26"/>
  </w:num>
  <w:num w:numId="31">
    <w:abstractNumId w:val="1"/>
  </w:num>
  <w:num w:numId="32">
    <w:abstractNumId w:val="27"/>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stylePaneSortMethod w:val="0000"/>
  <w:documentProtection w:edit="forms" w:enforcement="1" w:cryptProviderType="rsaAES" w:cryptAlgorithmClass="hash" w:cryptAlgorithmType="typeAny" w:cryptAlgorithmSid="14" w:cryptSpinCount="100000" w:hash="vfdFZY2bL8f/OrHGdy0WMILNCzuHhNQ8ELrZl3y2/rmK+hwQyU2frEaFB8sNrKL+sg6BpulekTp/RZ8UvahbRA==" w:salt="DlU2kkrJSZPDLmAT3k1ynA=="/>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F4B"/>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084A"/>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3E4B"/>
    <w:rsid w:val="000556ED"/>
    <w:rsid w:val="00055FE2"/>
    <w:rsid w:val="0005616F"/>
    <w:rsid w:val="00060C2E"/>
    <w:rsid w:val="00061033"/>
    <w:rsid w:val="000619E9"/>
    <w:rsid w:val="000622D4"/>
    <w:rsid w:val="0006357D"/>
    <w:rsid w:val="00067F1E"/>
    <w:rsid w:val="00071CC0"/>
    <w:rsid w:val="00073C8C"/>
    <w:rsid w:val="00077B64"/>
    <w:rsid w:val="00080919"/>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064"/>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1A31"/>
    <w:rsid w:val="0019348F"/>
    <w:rsid w:val="00193A07"/>
    <w:rsid w:val="00194C95"/>
    <w:rsid w:val="00195C34"/>
    <w:rsid w:val="00196EF5"/>
    <w:rsid w:val="001A1A53"/>
    <w:rsid w:val="001A234A"/>
    <w:rsid w:val="001A4CF3"/>
    <w:rsid w:val="001B06E8"/>
    <w:rsid w:val="001B38CE"/>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4C6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66D7"/>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83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56F91"/>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3D"/>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B7EE7"/>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325"/>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E6819"/>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543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3F3F"/>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5F57D2"/>
    <w:rsid w:val="006015CE"/>
    <w:rsid w:val="00604784"/>
    <w:rsid w:val="00606419"/>
    <w:rsid w:val="00607D29"/>
    <w:rsid w:val="00612952"/>
    <w:rsid w:val="00614CC1"/>
    <w:rsid w:val="00615A9D"/>
    <w:rsid w:val="00617387"/>
    <w:rsid w:val="006205D6"/>
    <w:rsid w:val="006252D8"/>
    <w:rsid w:val="006259BC"/>
    <w:rsid w:val="0062636B"/>
    <w:rsid w:val="006309AD"/>
    <w:rsid w:val="00632182"/>
    <w:rsid w:val="00632AE0"/>
    <w:rsid w:val="00633C17"/>
    <w:rsid w:val="00634D9E"/>
    <w:rsid w:val="00636E3E"/>
    <w:rsid w:val="006379F7"/>
    <w:rsid w:val="00637E4D"/>
    <w:rsid w:val="00640620"/>
    <w:rsid w:val="00641A1F"/>
    <w:rsid w:val="00643400"/>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B7247"/>
    <w:rsid w:val="006C1BBA"/>
    <w:rsid w:val="006C2079"/>
    <w:rsid w:val="006C5A62"/>
    <w:rsid w:val="006C5D68"/>
    <w:rsid w:val="006C6976"/>
    <w:rsid w:val="006C6DD0"/>
    <w:rsid w:val="006C7D39"/>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1040"/>
    <w:rsid w:val="007F75CE"/>
    <w:rsid w:val="007F7F12"/>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2D88"/>
    <w:rsid w:val="00823303"/>
    <w:rsid w:val="008233B2"/>
    <w:rsid w:val="00823A9F"/>
    <w:rsid w:val="00823C85"/>
    <w:rsid w:val="00825138"/>
    <w:rsid w:val="008269DD"/>
    <w:rsid w:val="00830621"/>
    <w:rsid w:val="0083348C"/>
    <w:rsid w:val="008373D3"/>
    <w:rsid w:val="00840617"/>
    <w:rsid w:val="00840F84"/>
    <w:rsid w:val="00842A47"/>
    <w:rsid w:val="00843C13"/>
    <w:rsid w:val="0084410B"/>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1BD0"/>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E63"/>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C6B5E"/>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1E73"/>
    <w:rsid w:val="00AE37E5"/>
    <w:rsid w:val="00AE5EB4"/>
    <w:rsid w:val="00AF0C18"/>
    <w:rsid w:val="00AF133D"/>
    <w:rsid w:val="00AF47C5"/>
    <w:rsid w:val="00AF5398"/>
    <w:rsid w:val="00B049AF"/>
    <w:rsid w:val="00B07242"/>
    <w:rsid w:val="00B104D6"/>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640A"/>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300"/>
    <w:rsid w:val="00C819F8"/>
    <w:rsid w:val="00C8248C"/>
    <w:rsid w:val="00C84E33"/>
    <w:rsid w:val="00C86D6F"/>
    <w:rsid w:val="00C905FC"/>
    <w:rsid w:val="00C92D03"/>
    <w:rsid w:val="00C9319C"/>
    <w:rsid w:val="00C9435D"/>
    <w:rsid w:val="00C94DF2"/>
    <w:rsid w:val="00C96741"/>
    <w:rsid w:val="00C97543"/>
    <w:rsid w:val="00CA2D1B"/>
    <w:rsid w:val="00CA375D"/>
    <w:rsid w:val="00CA5F4B"/>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3E9D"/>
    <w:rsid w:val="00DF44DE"/>
    <w:rsid w:val="00DF5F11"/>
    <w:rsid w:val="00E01138"/>
    <w:rsid w:val="00E02DFB"/>
    <w:rsid w:val="00E030F9"/>
    <w:rsid w:val="00E0311A"/>
    <w:rsid w:val="00E03138"/>
    <w:rsid w:val="00E04D13"/>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6947"/>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489E"/>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4306"/>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E8C65E"/>
  <w15:docId w15:val="{64414546-FCA5-4E78-9B56-028D1617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9B46F9"/>
    <w:pPr>
      <w:widowControl w:val="0"/>
      <w:adjustRightInd w:val="0"/>
      <w:spacing w:line="400" w:lineRule="exact"/>
      <w:jc w:val="both"/>
    </w:pPr>
    <w:rPr>
      <w:kern w:val="2"/>
      <w:sz w:val="21"/>
      <w:szCs w:val="21"/>
    </w:rPr>
  </w:style>
  <w:style w:type="paragraph" w:styleId="1">
    <w:name w:val="heading 1"/>
    <w:basedOn w:val="afff5"/>
    <w:next w:val="afff5"/>
    <w:link w:val="10"/>
    <w:qFormat/>
    <w:rsid w:val="009B46F9"/>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9B46F9"/>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9B46F9"/>
    <w:pPr>
      <w:keepNext/>
      <w:keepLines/>
      <w:spacing w:before="260" w:after="260" w:line="416" w:lineRule="auto"/>
      <w:outlineLvl w:val="2"/>
    </w:pPr>
    <w:rPr>
      <w:b/>
      <w:bCs/>
      <w:sz w:val="32"/>
      <w:szCs w:val="32"/>
    </w:rPr>
  </w:style>
  <w:style w:type="paragraph" w:styleId="4">
    <w:name w:val="heading 4"/>
    <w:basedOn w:val="afff5"/>
    <w:next w:val="afff5"/>
    <w:link w:val="40"/>
    <w:qFormat/>
    <w:rsid w:val="009B46F9"/>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9B46F9"/>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9B46F9"/>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9B46F9"/>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9B46F9"/>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9B46F9"/>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9B46F9"/>
    <w:rPr>
      <w:b/>
      <w:bCs/>
      <w:kern w:val="44"/>
      <w:sz w:val="44"/>
      <w:szCs w:val="44"/>
    </w:rPr>
  </w:style>
  <w:style w:type="character" w:customStyle="1" w:styleId="23">
    <w:name w:val="标题 2 字符"/>
    <w:link w:val="22"/>
    <w:rsid w:val="009B46F9"/>
    <w:rPr>
      <w:rFonts w:ascii="Arial" w:eastAsia="黑体" w:hAnsi="Arial"/>
      <w:b/>
      <w:bCs/>
      <w:kern w:val="2"/>
      <w:sz w:val="32"/>
      <w:szCs w:val="32"/>
    </w:rPr>
  </w:style>
  <w:style w:type="character" w:customStyle="1" w:styleId="30">
    <w:name w:val="标题 3 字符"/>
    <w:link w:val="3"/>
    <w:rsid w:val="009B46F9"/>
    <w:rPr>
      <w:b/>
      <w:bCs/>
      <w:kern w:val="2"/>
      <w:sz w:val="32"/>
      <w:szCs w:val="32"/>
    </w:rPr>
  </w:style>
  <w:style w:type="character" w:customStyle="1" w:styleId="40">
    <w:name w:val="标题 4 字符"/>
    <w:link w:val="4"/>
    <w:rsid w:val="009B46F9"/>
    <w:rPr>
      <w:rFonts w:ascii="Arial" w:eastAsia="黑体" w:hAnsi="Arial"/>
      <w:b/>
      <w:bCs/>
      <w:kern w:val="2"/>
      <w:sz w:val="28"/>
      <w:szCs w:val="28"/>
    </w:rPr>
  </w:style>
  <w:style w:type="character" w:customStyle="1" w:styleId="50">
    <w:name w:val="标题 5 字符"/>
    <w:link w:val="5"/>
    <w:rsid w:val="009B46F9"/>
    <w:rPr>
      <w:b/>
      <w:bCs/>
      <w:kern w:val="2"/>
      <w:sz w:val="28"/>
      <w:szCs w:val="28"/>
    </w:rPr>
  </w:style>
  <w:style w:type="character" w:customStyle="1" w:styleId="60">
    <w:name w:val="标题 6 字符"/>
    <w:link w:val="6"/>
    <w:rsid w:val="009B46F9"/>
    <w:rPr>
      <w:rFonts w:ascii="Arial" w:eastAsia="黑体" w:hAnsi="Arial"/>
      <w:b/>
      <w:bCs/>
      <w:kern w:val="2"/>
      <w:sz w:val="24"/>
      <w:szCs w:val="24"/>
    </w:rPr>
  </w:style>
  <w:style w:type="character" w:customStyle="1" w:styleId="70">
    <w:name w:val="标题 7 字符"/>
    <w:link w:val="7"/>
    <w:rsid w:val="009B46F9"/>
    <w:rPr>
      <w:b/>
      <w:bCs/>
      <w:kern w:val="2"/>
      <w:sz w:val="24"/>
      <w:szCs w:val="24"/>
    </w:rPr>
  </w:style>
  <w:style w:type="character" w:customStyle="1" w:styleId="80">
    <w:name w:val="标题 8 字符"/>
    <w:link w:val="8"/>
    <w:rsid w:val="009B46F9"/>
    <w:rPr>
      <w:rFonts w:ascii="Arial" w:eastAsia="黑体" w:hAnsi="Arial"/>
      <w:kern w:val="2"/>
      <w:sz w:val="24"/>
      <w:szCs w:val="24"/>
    </w:rPr>
  </w:style>
  <w:style w:type="character" w:customStyle="1" w:styleId="90">
    <w:name w:val="标题 9 字符"/>
    <w:link w:val="9"/>
    <w:rsid w:val="009B46F9"/>
    <w:rPr>
      <w:rFonts w:ascii="Arial" w:eastAsia="黑体" w:hAnsi="Arial"/>
      <w:kern w:val="2"/>
      <w:sz w:val="21"/>
      <w:szCs w:val="21"/>
    </w:rPr>
  </w:style>
  <w:style w:type="paragraph" w:styleId="afff9">
    <w:name w:val="header"/>
    <w:basedOn w:val="afff5"/>
    <w:link w:val="afffa"/>
    <w:uiPriority w:val="99"/>
    <w:rsid w:val="009B46F9"/>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9B46F9"/>
    <w:rPr>
      <w:kern w:val="2"/>
      <w:sz w:val="18"/>
      <w:szCs w:val="18"/>
    </w:rPr>
  </w:style>
  <w:style w:type="paragraph" w:styleId="afffb">
    <w:name w:val="footer"/>
    <w:basedOn w:val="afff5"/>
    <w:link w:val="afffc"/>
    <w:uiPriority w:val="99"/>
    <w:rsid w:val="009B46F9"/>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9B46F9"/>
    <w:rPr>
      <w:rFonts w:ascii="宋体"/>
      <w:kern w:val="2"/>
      <w:sz w:val="18"/>
      <w:szCs w:val="18"/>
    </w:rPr>
  </w:style>
  <w:style w:type="paragraph" w:styleId="afffd">
    <w:name w:val="Balloon Text"/>
    <w:basedOn w:val="afff5"/>
    <w:link w:val="afffe"/>
    <w:uiPriority w:val="99"/>
    <w:semiHidden/>
    <w:unhideWhenUsed/>
    <w:rsid w:val="009B46F9"/>
    <w:rPr>
      <w:sz w:val="18"/>
      <w:szCs w:val="18"/>
    </w:rPr>
  </w:style>
  <w:style w:type="character" w:customStyle="1" w:styleId="afffe">
    <w:name w:val="批注框文本 字符"/>
    <w:link w:val="afffd"/>
    <w:uiPriority w:val="99"/>
    <w:semiHidden/>
    <w:rsid w:val="009B46F9"/>
    <w:rPr>
      <w:kern w:val="2"/>
      <w:sz w:val="18"/>
      <w:szCs w:val="18"/>
    </w:rPr>
  </w:style>
  <w:style w:type="paragraph" w:styleId="affff">
    <w:name w:val="Quote"/>
    <w:basedOn w:val="afff5"/>
    <w:next w:val="afff5"/>
    <w:link w:val="affff0"/>
    <w:uiPriority w:val="29"/>
    <w:qFormat/>
    <w:rsid w:val="009B46F9"/>
    <w:rPr>
      <w:i/>
      <w:iCs/>
      <w:color w:val="000000"/>
    </w:rPr>
  </w:style>
  <w:style w:type="character" w:customStyle="1" w:styleId="affff0">
    <w:name w:val="引用 字符"/>
    <w:link w:val="affff"/>
    <w:uiPriority w:val="29"/>
    <w:rsid w:val="009B46F9"/>
    <w:rPr>
      <w:i/>
      <w:iCs/>
      <w:color w:val="000000"/>
      <w:kern w:val="2"/>
      <w:sz w:val="21"/>
      <w:szCs w:val="21"/>
    </w:rPr>
  </w:style>
  <w:style w:type="character" w:styleId="affff1">
    <w:name w:val="Strong"/>
    <w:uiPriority w:val="22"/>
    <w:qFormat/>
    <w:rsid w:val="009B46F9"/>
    <w:rPr>
      <w:b/>
      <w:bCs/>
    </w:rPr>
  </w:style>
  <w:style w:type="character" w:styleId="affff2">
    <w:name w:val="Emphasis"/>
    <w:uiPriority w:val="20"/>
    <w:qFormat/>
    <w:rsid w:val="009B46F9"/>
    <w:rPr>
      <w:i/>
      <w:iCs/>
    </w:rPr>
  </w:style>
  <w:style w:type="paragraph" w:styleId="affff3">
    <w:name w:val="Title"/>
    <w:basedOn w:val="afff5"/>
    <w:link w:val="affff4"/>
    <w:qFormat/>
    <w:rsid w:val="009B46F9"/>
    <w:pPr>
      <w:spacing w:before="240" w:after="60"/>
      <w:jc w:val="center"/>
      <w:outlineLvl w:val="0"/>
    </w:pPr>
    <w:rPr>
      <w:rFonts w:ascii="Arial" w:hAnsi="Arial" w:cs="Arial"/>
      <w:b/>
      <w:bCs/>
      <w:sz w:val="32"/>
      <w:szCs w:val="32"/>
    </w:rPr>
  </w:style>
  <w:style w:type="character" w:customStyle="1" w:styleId="affff4">
    <w:name w:val="标题 字符"/>
    <w:link w:val="affff3"/>
    <w:qFormat/>
    <w:rsid w:val="009B46F9"/>
    <w:rPr>
      <w:rFonts w:ascii="Arial" w:hAnsi="Arial" w:cs="Arial"/>
      <w:b/>
      <w:bCs/>
      <w:kern w:val="2"/>
      <w:sz w:val="32"/>
      <w:szCs w:val="32"/>
    </w:rPr>
  </w:style>
  <w:style w:type="paragraph" w:customStyle="1" w:styleId="affff5">
    <w:name w:val="标准标志"/>
    <w:next w:val="afff5"/>
    <w:rsid w:val="009B46F9"/>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9B46F9"/>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9B46F9"/>
    <w:pPr>
      <w:ind w:left="198"/>
    </w:pPr>
    <w:rPr>
      <w:rFonts w:ascii="宋体" w:hAnsi="Times New Roman"/>
      <w:sz w:val="18"/>
    </w:rPr>
  </w:style>
  <w:style w:type="paragraph" w:customStyle="1" w:styleId="affff8">
    <w:name w:val="标准文件_页脚奇数页"/>
    <w:rsid w:val="009B46F9"/>
    <w:pPr>
      <w:ind w:right="227"/>
      <w:jc w:val="right"/>
    </w:pPr>
    <w:rPr>
      <w:rFonts w:ascii="宋体" w:hAnsi="Times New Roman"/>
      <w:sz w:val="18"/>
    </w:rPr>
  </w:style>
  <w:style w:type="paragraph" w:customStyle="1" w:styleId="affff9">
    <w:name w:val="标准书眉一"/>
    <w:rsid w:val="009B46F9"/>
    <w:pPr>
      <w:jc w:val="both"/>
    </w:pPr>
    <w:rPr>
      <w:rFonts w:ascii="Times New Roman" w:hAnsi="Times New Roman"/>
    </w:rPr>
  </w:style>
  <w:style w:type="paragraph" w:customStyle="1" w:styleId="ICS">
    <w:name w:val="标准文件_ICS"/>
    <w:basedOn w:val="afff5"/>
    <w:rsid w:val="009B46F9"/>
    <w:pPr>
      <w:spacing w:line="0" w:lineRule="atLeast"/>
    </w:pPr>
    <w:rPr>
      <w:rFonts w:ascii="黑体" w:eastAsia="黑体" w:hAnsi="宋体"/>
    </w:rPr>
  </w:style>
  <w:style w:type="paragraph" w:customStyle="1" w:styleId="affffa">
    <w:name w:val="标准文件_标准正文"/>
    <w:basedOn w:val="afff5"/>
    <w:next w:val="affffb"/>
    <w:rsid w:val="009B46F9"/>
    <w:pPr>
      <w:snapToGrid w:val="0"/>
      <w:ind w:firstLineChars="200" w:firstLine="200"/>
    </w:pPr>
    <w:rPr>
      <w:kern w:val="0"/>
    </w:rPr>
  </w:style>
  <w:style w:type="paragraph" w:customStyle="1" w:styleId="affffc">
    <w:name w:val="标准文件_版本"/>
    <w:basedOn w:val="affffa"/>
    <w:rsid w:val="009B46F9"/>
    <w:pPr>
      <w:adjustRightInd/>
      <w:snapToGrid/>
      <w:ind w:firstLineChars="0" w:firstLine="0"/>
    </w:pPr>
    <w:rPr>
      <w:rFonts w:ascii="宋体" w:hAnsi="宋体"/>
      <w:kern w:val="2"/>
    </w:rPr>
  </w:style>
  <w:style w:type="paragraph" w:customStyle="1" w:styleId="affffd">
    <w:name w:val="标准文件_标准部门"/>
    <w:basedOn w:val="afff5"/>
    <w:rsid w:val="009B46F9"/>
    <w:pPr>
      <w:jc w:val="center"/>
    </w:pPr>
    <w:rPr>
      <w:rFonts w:ascii="黑体" w:eastAsia="黑体"/>
      <w:kern w:val="0"/>
      <w:sz w:val="44"/>
    </w:rPr>
  </w:style>
  <w:style w:type="paragraph" w:customStyle="1" w:styleId="affffe">
    <w:name w:val="标准文件_标准代替"/>
    <w:basedOn w:val="afff5"/>
    <w:next w:val="afff5"/>
    <w:rsid w:val="009B46F9"/>
    <w:pPr>
      <w:spacing w:line="310" w:lineRule="exact"/>
      <w:jc w:val="right"/>
    </w:pPr>
    <w:rPr>
      <w:rFonts w:ascii="宋体" w:hAnsi="宋体"/>
      <w:kern w:val="0"/>
    </w:rPr>
  </w:style>
  <w:style w:type="paragraph" w:customStyle="1" w:styleId="afffff">
    <w:name w:val="标准文件_标准名称标题"/>
    <w:basedOn w:val="afff5"/>
    <w:next w:val="afff5"/>
    <w:rsid w:val="009B46F9"/>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9B46F9"/>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9B46F9"/>
    <w:pPr>
      <w:jc w:val="left"/>
    </w:pPr>
  </w:style>
  <w:style w:type="paragraph" w:customStyle="1" w:styleId="afffff2">
    <w:name w:val="标准文件_参考文献标题"/>
    <w:basedOn w:val="afff5"/>
    <w:next w:val="afff5"/>
    <w:rsid w:val="00CD561D"/>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rsid w:val="009B46F9"/>
    <w:pPr>
      <w:numPr>
        <w:numId w:val="1"/>
      </w:numPr>
    </w:pPr>
    <w:rPr>
      <w:rFonts w:ascii="宋体" w:hAnsi="Times New Roman"/>
    </w:rPr>
  </w:style>
  <w:style w:type="paragraph" w:customStyle="1" w:styleId="affffb">
    <w:name w:val="标准文件_段"/>
    <w:link w:val="Char"/>
    <w:qFormat/>
    <w:rsid w:val="009B46F9"/>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qFormat/>
    <w:rsid w:val="009B46F9"/>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9B46F9"/>
    <w:rPr>
      <w:rFonts w:ascii="黑体" w:eastAsia="黑体"/>
      <w:spacing w:val="0"/>
      <w:w w:val="100"/>
      <w:position w:val="3"/>
      <w:sz w:val="28"/>
    </w:rPr>
  </w:style>
  <w:style w:type="paragraph" w:customStyle="1" w:styleId="ad">
    <w:name w:val="标准文件_方框数字列项"/>
    <w:basedOn w:val="affffb"/>
    <w:rsid w:val="009B46F9"/>
    <w:pPr>
      <w:numPr>
        <w:numId w:val="3"/>
      </w:numPr>
      <w:ind w:firstLineChars="0" w:firstLine="0"/>
    </w:pPr>
  </w:style>
  <w:style w:type="paragraph" w:customStyle="1" w:styleId="afffff4">
    <w:name w:val="标准文件_封面标准编号"/>
    <w:basedOn w:val="afff5"/>
    <w:next w:val="affffe"/>
    <w:rsid w:val="009B46F9"/>
    <w:pPr>
      <w:spacing w:line="310" w:lineRule="exact"/>
      <w:jc w:val="right"/>
    </w:pPr>
    <w:rPr>
      <w:rFonts w:ascii="黑体" w:eastAsia="黑体"/>
      <w:kern w:val="0"/>
      <w:sz w:val="28"/>
    </w:rPr>
  </w:style>
  <w:style w:type="paragraph" w:customStyle="1" w:styleId="afffff5">
    <w:name w:val="标准文件_封面标准分类号"/>
    <w:basedOn w:val="afff5"/>
    <w:rsid w:val="009B46F9"/>
    <w:rPr>
      <w:rFonts w:ascii="黑体" w:eastAsia="黑体"/>
      <w:b/>
      <w:kern w:val="0"/>
      <w:sz w:val="28"/>
    </w:rPr>
  </w:style>
  <w:style w:type="paragraph" w:customStyle="1" w:styleId="afffff6">
    <w:name w:val="标准文件_封面标准名称"/>
    <w:basedOn w:val="afff5"/>
    <w:rsid w:val="009B46F9"/>
    <w:pPr>
      <w:spacing w:line="240" w:lineRule="auto"/>
      <w:jc w:val="center"/>
    </w:pPr>
    <w:rPr>
      <w:rFonts w:ascii="黑体" w:eastAsia="黑体"/>
      <w:kern w:val="0"/>
      <w:sz w:val="52"/>
    </w:rPr>
  </w:style>
  <w:style w:type="paragraph" w:customStyle="1" w:styleId="afffff7">
    <w:name w:val="标准文件_封面标准英文名称"/>
    <w:basedOn w:val="afff5"/>
    <w:rsid w:val="009B46F9"/>
    <w:pPr>
      <w:spacing w:line="240" w:lineRule="auto"/>
      <w:jc w:val="center"/>
    </w:pPr>
    <w:rPr>
      <w:rFonts w:ascii="黑体" w:eastAsia="黑体"/>
      <w:b/>
      <w:sz w:val="28"/>
    </w:rPr>
  </w:style>
  <w:style w:type="paragraph" w:customStyle="1" w:styleId="afffff8">
    <w:name w:val="标准文件_封面发布日期"/>
    <w:basedOn w:val="afff5"/>
    <w:rsid w:val="009B46F9"/>
    <w:pPr>
      <w:spacing w:line="310" w:lineRule="exact"/>
    </w:pPr>
    <w:rPr>
      <w:rFonts w:ascii="黑体" w:eastAsia="黑体"/>
      <w:kern w:val="0"/>
      <w:sz w:val="28"/>
    </w:rPr>
  </w:style>
  <w:style w:type="paragraph" w:customStyle="1" w:styleId="afffff9">
    <w:name w:val="标准文件_封面密级"/>
    <w:basedOn w:val="afff5"/>
    <w:rsid w:val="009B46F9"/>
    <w:rPr>
      <w:rFonts w:eastAsia="黑体"/>
      <w:sz w:val="32"/>
    </w:rPr>
  </w:style>
  <w:style w:type="paragraph" w:customStyle="1" w:styleId="afffffa">
    <w:name w:val="标准文件_封面实施日期"/>
    <w:basedOn w:val="afff5"/>
    <w:rsid w:val="009B46F9"/>
    <w:pPr>
      <w:spacing w:line="310" w:lineRule="exact"/>
      <w:jc w:val="right"/>
    </w:pPr>
    <w:rPr>
      <w:rFonts w:ascii="黑体" w:eastAsia="黑体"/>
      <w:sz w:val="28"/>
    </w:rPr>
  </w:style>
  <w:style w:type="paragraph" w:customStyle="1" w:styleId="afffffb">
    <w:name w:val="标准文件_封面抬头"/>
    <w:basedOn w:val="affffb"/>
    <w:rsid w:val="009B46F9"/>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qFormat/>
    <w:rsid w:val="009B46F9"/>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9B46F9"/>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qFormat/>
    <w:rsid w:val="009B46F9"/>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qFormat/>
    <w:rsid w:val="009B46F9"/>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9B46F9"/>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qFormat/>
    <w:rsid w:val="009B46F9"/>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qFormat/>
    <w:rsid w:val="009B46F9"/>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qFormat/>
    <w:rsid w:val="009B46F9"/>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qFormat/>
    <w:rsid w:val="009B46F9"/>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9B46F9"/>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9B46F9"/>
    <w:pPr>
      <w:spacing w:after="120"/>
    </w:pPr>
  </w:style>
  <w:style w:type="character" w:customStyle="1" w:styleId="afffffe">
    <w:name w:val="正文文本 字符"/>
    <w:link w:val="afffffd"/>
    <w:rsid w:val="009B46F9"/>
    <w:rPr>
      <w:kern w:val="2"/>
      <w:sz w:val="21"/>
      <w:szCs w:val="21"/>
    </w:rPr>
  </w:style>
  <w:style w:type="paragraph" w:customStyle="1" w:styleId="affffff">
    <w:name w:val="标准文件_附录章标题"/>
    <w:next w:val="affffb"/>
    <w:rsid w:val="009B46F9"/>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9B46F9"/>
    <w:pPr>
      <w:ind w:leftChars="200" w:left="488" w:hangingChars="290" w:hanging="289"/>
    </w:pPr>
  </w:style>
  <w:style w:type="paragraph" w:customStyle="1" w:styleId="a6">
    <w:name w:val="标准文件_前言、引言标题"/>
    <w:next w:val="afff5"/>
    <w:rsid w:val="00CD561D"/>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9B46F9"/>
    <w:pPr>
      <w:spacing w:line="460" w:lineRule="exact"/>
      <w:ind w:left="0" w:firstLine="0"/>
    </w:pPr>
  </w:style>
  <w:style w:type="paragraph" w:customStyle="1" w:styleId="affffff2">
    <w:name w:val="标准文件_目录标题"/>
    <w:basedOn w:val="afff5"/>
    <w:rsid w:val="00CD561D"/>
    <w:pPr>
      <w:spacing w:before="480" w:afterLines="150" w:after="150" w:line="240" w:lineRule="auto"/>
      <w:jc w:val="center"/>
    </w:pPr>
    <w:rPr>
      <w:rFonts w:ascii="黑体" w:eastAsia="黑体"/>
      <w:sz w:val="32"/>
    </w:rPr>
  </w:style>
  <w:style w:type="paragraph" w:customStyle="1" w:styleId="af1">
    <w:name w:val="标准文件_破折号列项"/>
    <w:qFormat/>
    <w:rsid w:val="009B46F9"/>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9B46F9"/>
    <w:pPr>
      <w:numPr>
        <w:numId w:val="9"/>
      </w:numPr>
    </w:pPr>
  </w:style>
  <w:style w:type="paragraph" w:customStyle="1" w:styleId="afff">
    <w:name w:val="标准文件_三级条标题"/>
    <w:basedOn w:val="affe"/>
    <w:next w:val="affffb"/>
    <w:qFormat/>
    <w:rsid w:val="009B46F9"/>
    <w:pPr>
      <w:widowControl/>
      <w:numPr>
        <w:ilvl w:val="4"/>
      </w:numPr>
      <w:outlineLvl w:val="3"/>
    </w:pPr>
  </w:style>
  <w:style w:type="character" w:styleId="affffff3">
    <w:name w:val="Subtle Reference"/>
    <w:uiPriority w:val="31"/>
    <w:qFormat/>
    <w:rsid w:val="009B46F9"/>
    <w:rPr>
      <w:smallCaps/>
      <w:color w:val="C0504D"/>
      <w:u w:val="single"/>
    </w:rPr>
  </w:style>
  <w:style w:type="paragraph" w:customStyle="1" w:styleId="affffff4">
    <w:name w:val="标准文件_示例后续"/>
    <w:basedOn w:val="afff5"/>
    <w:rsid w:val="009B46F9"/>
    <w:pPr>
      <w:adjustRightInd/>
      <w:spacing w:line="240" w:lineRule="auto"/>
      <w:ind w:firstLineChars="200" w:firstLine="200"/>
    </w:pPr>
    <w:rPr>
      <w:sz w:val="18"/>
      <w:szCs w:val="24"/>
    </w:rPr>
  </w:style>
  <w:style w:type="paragraph" w:customStyle="1" w:styleId="aff9">
    <w:name w:val="标准文件_数字编号列项"/>
    <w:rsid w:val="009B46F9"/>
    <w:pPr>
      <w:numPr>
        <w:numId w:val="13"/>
      </w:numPr>
      <w:jc w:val="both"/>
    </w:pPr>
    <w:rPr>
      <w:rFonts w:ascii="宋体" w:hAnsi="宋体"/>
      <w:sz w:val="21"/>
    </w:rPr>
  </w:style>
  <w:style w:type="paragraph" w:customStyle="1" w:styleId="afff0">
    <w:name w:val="标准文件_四级条标题"/>
    <w:next w:val="affffb"/>
    <w:qFormat/>
    <w:rsid w:val="009B46F9"/>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9B46F9"/>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9B46F9"/>
    <w:rPr>
      <w:rFonts w:ascii="宋体"/>
      <w:kern w:val="2"/>
      <w:sz w:val="18"/>
      <w:szCs w:val="18"/>
    </w:rPr>
  </w:style>
  <w:style w:type="paragraph" w:customStyle="1" w:styleId="affffff7">
    <w:name w:val="标准文件_条文脚注"/>
    <w:basedOn w:val="affffff5"/>
    <w:rsid w:val="009B46F9"/>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9B46F9"/>
    <w:pPr>
      <w:numPr>
        <w:numId w:val="14"/>
      </w:numPr>
      <w:spacing w:line="240" w:lineRule="auto"/>
      <w:jc w:val="left"/>
    </w:pPr>
    <w:rPr>
      <w:rFonts w:ascii="宋体" w:hAnsi="宋体"/>
      <w:sz w:val="18"/>
    </w:rPr>
  </w:style>
  <w:style w:type="character" w:styleId="affffff8">
    <w:name w:val="footnote reference"/>
    <w:aliases w:val="标准文件_脚注引用"/>
    <w:semiHidden/>
    <w:rsid w:val="009B46F9"/>
    <w:rPr>
      <w:rFonts w:ascii="宋体" w:eastAsia="宋体" w:hAnsi="宋体" w:cs="Times New Roman"/>
      <w:spacing w:val="0"/>
      <w:sz w:val="18"/>
      <w:vertAlign w:val="superscript"/>
    </w:rPr>
  </w:style>
  <w:style w:type="character" w:customStyle="1" w:styleId="affffff9">
    <w:name w:val="标准文件_图表脚注内容"/>
    <w:rsid w:val="009B46F9"/>
    <w:rPr>
      <w:rFonts w:ascii="宋体" w:eastAsia="宋体" w:hAnsi="宋体" w:cs="Times New Roman"/>
      <w:spacing w:val="0"/>
      <w:sz w:val="18"/>
      <w:vertAlign w:val="superscript"/>
    </w:rPr>
  </w:style>
  <w:style w:type="paragraph" w:customStyle="1" w:styleId="afff1">
    <w:name w:val="标准文件_五级条标题"/>
    <w:next w:val="affffb"/>
    <w:qFormat/>
    <w:rsid w:val="009B46F9"/>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qFormat/>
    <w:rsid w:val="009B46F9"/>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qFormat/>
    <w:rsid w:val="009B46F9"/>
    <w:pPr>
      <w:numPr>
        <w:ilvl w:val="2"/>
      </w:numPr>
      <w:spacing w:beforeLines="50" w:before="50" w:afterLines="50" w:after="50"/>
      <w:outlineLvl w:val="1"/>
    </w:pPr>
  </w:style>
  <w:style w:type="paragraph" w:customStyle="1" w:styleId="affffffa">
    <w:name w:val="标准文件_一致程度"/>
    <w:basedOn w:val="afff5"/>
    <w:rsid w:val="009B46F9"/>
    <w:pPr>
      <w:spacing w:line="440" w:lineRule="exact"/>
      <w:jc w:val="center"/>
    </w:pPr>
    <w:rPr>
      <w:sz w:val="28"/>
    </w:rPr>
  </w:style>
  <w:style w:type="paragraph" w:customStyle="1" w:styleId="affffffb">
    <w:name w:val="标准文件_引言标题"/>
    <w:next w:val="afff5"/>
    <w:rsid w:val="009B46F9"/>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9B46F9"/>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rsid w:val="009B46F9"/>
    <w:pPr>
      <w:numPr>
        <w:ilvl w:val="1"/>
        <w:numId w:val="27"/>
      </w:numPr>
      <w:jc w:val="both"/>
    </w:pPr>
    <w:rPr>
      <w:rFonts w:ascii="宋体" w:hAnsi="Times New Roman"/>
      <w:sz w:val="21"/>
    </w:rPr>
  </w:style>
  <w:style w:type="paragraph" w:customStyle="1" w:styleId="af">
    <w:name w:val="标准文件_英文注："/>
    <w:basedOn w:val="afff5"/>
    <w:next w:val="affffb"/>
    <w:rsid w:val="009B46F9"/>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9B46F9"/>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qFormat/>
    <w:rsid w:val="009B46F9"/>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9B46F9"/>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9B46F9"/>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9B46F9"/>
    <w:pPr>
      <w:numPr>
        <w:numId w:val="23"/>
      </w:numPr>
      <w:jc w:val="center"/>
    </w:pPr>
    <w:rPr>
      <w:rFonts w:ascii="黑体" w:eastAsia="黑体" w:hAnsi="Times New Roman"/>
      <w:sz w:val="21"/>
    </w:rPr>
  </w:style>
  <w:style w:type="paragraph" w:customStyle="1" w:styleId="afb">
    <w:name w:val="标准文件_正文英文图标题"/>
    <w:next w:val="affffb"/>
    <w:rsid w:val="009B46F9"/>
    <w:pPr>
      <w:numPr>
        <w:numId w:val="24"/>
      </w:numPr>
      <w:jc w:val="center"/>
    </w:pPr>
    <w:rPr>
      <w:rFonts w:ascii="黑体" w:eastAsia="黑体" w:hAnsi="Times New Roman"/>
      <w:sz w:val="21"/>
    </w:rPr>
  </w:style>
  <w:style w:type="paragraph" w:customStyle="1" w:styleId="af7">
    <w:name w:val="标准文件_编号列项（三级）"/>
    <w:qFormat/>
    <w:rsid w:val="009B46F9"/>
    <w:pPr>
      <w:numPr>
        <w:ilvl w:val="2"/>
        <w:numId w:val="27"/>
      </w:numPr>
    </w:pPr>
    <w:rPr>
      <w:rFonts w:ascii="宋体" w:hAnsi="Times New Roman"/>
      <w:sz w:val="21"/>
    </w:rPr>
  </w:style>
  <w:style w:type="character" w:styleId="affffffe">
    <w:name w:val="Hyperlink"/>
    <w:uiPriority w:val="99"/>
    <w:rsid w:val="009B46F9"/>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9B46F9"/>
    <w:pPr>
      <w:numPr>
        <w:ilvl w:val="3"/>
        <w:numId w:val="31"/>
      </w:numPr>
      <w:adjustRightInd/>
      <w:spacing w:line="240" w:lineRule="auto"/>
    </w:pPr>
    <w:rPr>
      <w:rFonts w:ascii="宋体" w:hAnsi="宋体"/>
      <w:szCs w:val="24"/>
    </w:rPr>
  </w:style>
  <w:style w:type="paragraph" w:customStyle="1" w:styleId="afffffff">
    <w:name w:val="发布部门"/>
    <w:next w:val="affffb"/>
    <w:rsid w:val="009B46F9"/>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qFormat/>
    <w:rsid w:val="009B46F9"/>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9B46F9"/>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9B46F9"/>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9B46F9"/>
    <w:pPr>
      <w:spacing w:before="180" w:line="180" w:lineRule="exact"/>
      <w:jc w:val="center"/>
    </w:pPr>
    <w:rPr>
      <w:rFonts w:ascii="宋体" w:hAnsi="Times New Roman"/>
      <w:sz w:val="21"/>
    </w:rPr>
  </w:style>
  <w:style w:type="paragraph" w:customStyle="1" w:styleId="afffffff4">
    <w:name w:val="封面标准文稿类别"/>
    <w:rsid w:val="009B46F9"/>
    <w:pPr>
      <w:spacing w:before="440" w:line="400" w:lineRule="exact"/>
      <w:jc w:val="center"/>
    </w:pPr>
    <w:rPr>
      <w:rFonts w:ascii="宋体" w:hAnsi="Times New Roman"/>
      <w:sz w:val="24"/>
    </w:rPr>
  </w:style>
  <w:style w:type="paragraph" w:customStyle="1" w:styleId="afffffff5">
    <w:name w:val="封面标准英文名称"/>
    <w:rsid w:val="009B46F9"/>
    <w:pPr>
      <w:widowControl w:val="0"/>
      <w:spacing w:line="360" w:lineRule="exact"/>
      <w:jc w:val="center"/>
    </w:pPr>
    <w:rPr>
      <w:rFonts w:ascii="Times New Roman" w:hAnsi="Times New Roman"/>
      <w:sz w:val="28"/>
    </w:rPr>
  </w:style>
  <w:style w:type="paragraph" w:customStyle="1" w:styleId="afffffff6">
    <w:name w:val="封面一致性程度标识"/>
    <w:rsid w:val="009B46F9"/>
    <w:pPr>
      <w:spacing w:before="440" w:line="440" w:lineRule="exact"/>
      <w:jc w:val="center"/>
    </w:pPr>
    <w:rPr>
      <w:rFonts w:ascii="Times New Roman" w:hAnsi="Times New Roman"/>
      <w:sz w:val="28"/>
    </w:rPr>
  </w:style>
  <w:style w:type="paragraph" w:customStyle="1" w:styleId="afffffff7">
    <w:name w:val="封面正文"/>
    <w:rsid w:val="009B46F9"/>
    <w:pPr>
      <w:jc w:val="both"/>
    </w:pPr>
    <w:rPr>
      <w:rFonts w:ascii="Times New Roman" w:hAnsi="Times New Roman"/>
    </w:rPr>
  </w:style>
  <w:style w:type="paragraph" w:customStyle="1" w:styleId="afffffff8">
    <w:name w:val="附录二级无标题条"/>
    <w:basedOn w:val="afff5"/>
    <w:next w:val="affffb"/>
    <w:rsid w:val="009B46F9"/>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9B46F9"/>
    <w:pPr>
      <w:outlineLvl w:val="4"/>
    </w:pPr>
  </w:style>
  <w:style w:type="paragraph" w:customStyle="1" w:styleId="afffffffa">
    <w:name w:val="附录四级无标题条"/>
    <w:basedOn w:val="afffffff9"/>
    <w:next w:val="affffb"/>
    <w:rsid w:val="009B46F9"/>
    <w:pPr>
      <w:outlineLvl w:val="5"/>
    </w:pPr>
  </w:style>
  <w:style w:type="paragraph" w:customStyle="1" w:styleId="afffffffb">
    <w:name w:val="附录图"/>
    <w:next w:val="affffb"/>
    <w:rsid w:val="009B46F9"/>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rsid w:val="009B46F9"/>
    <w:pPr>
      <w:numPr>
        <w:numId w:val="16"/>
      </w:numPr>
    </w:pPr>
    <w:rPr>
      <w:rFonts w:ascii="宋体" w:hAnsi="Times New Roman"/>
      <w:sz w:val="21"/>
    </w:rPr>
  </w:style>
  <w:style w:type="paragraph" w:customStyle="1" w:styleId="afffffffc">
    <w:name w:val="附录五级无标题条"/>
    <w:basedOn w:val="afffffffa"/>
    <w:next w:val="affffb"/>
    <w:rsid w:val="009B46F9"/>
    <w:pPr>
      <w:outlineLvl w:val="6"/>
    </w:pPr>
  </w:style>
  <w:style w:type="paragraph" w:customStyle="1" w:styleId="afffffffd">
    <w:name w:val="附录性质"/>
    <w:basedOn w:val="afff5"/>
    <w:rsid w:val="009B46F9"/>
    <w:pPr>
      <w:widowControl/>
      <w:adjustRightInd/>
      <w:jc w:val="center"/>
    </w:pPr>
    <w:rPr>
      <w:rFonts w:ascii="黑体" w:eastAsia="黑体"/>
    </w:rPr>
  </w:style>
  <w:style w:type="paragraph" w:customStyle="1" w:styleId="afffffffe">
    <w:name w:val="附录一级无标题条"/>
    <w:basedOn w:val="affffff"/>
    <w:next w:val="affffb"/>
    <w:rsid w:val="009B46F9"/>
    <w:pPr>
      <w:autoSpaceDN w:val="0"/>
      <w:outlineLvl w:val="2"/>
    </w:pPr>
    <w:rPr>
      <w:rFonts w:ascii="宋体" w:eastAsia="宋体" w:hAnsi="宋体"/>
    </w:rPr>
  </w:style>
  <w:style w:type="character" w:customStyle="1" w:styleId="affffffff">
    <w:name w:val="个人答复风格"/>
    <w:rsid w:val="009B46F9"/>
    <w:rPr>
      <w:rFonts w:ascii="Arial" w:eastAsia="宋体" w:hAnsi="Arial" w:cs="Arial"/>
      <w:color w:val="auto"/>
      <w:spacing w:val="0"/>
      <w:sz w:val="20"/>
    </w:rPr>
  </w:style>
  <w:style w:type="character" w:customStyle="1" w:styleId="affffffff0">
    <w:name w:val="个人撰写风格"/>
    <w:rsid w:val="009B46F9"/>
    <w:rPr>
      <w:rFonts w:ascii="Arial" w:eastAsia="宋体" w:hAnsi="Arial" w:cs="Arial"/>
      <w:color w:val="auto"/>
      <w:spacing w:val="0"/>
      <w:sz w:val="20"/>
    </w:rPr>
  </w:style>
  <w:style w:type="paragraph" w:customStyle="1" w:styleId="affffffff1">
    <w:name w:val="脚注后续"/>
    <w:rsid w:val="009B46F9"/>
    <w:pPr>
      <w:ind w:leftChars="350" w:left="350"/>
      <w:jc w:val="both"/>
    </w:pPr>
    <w:rPr>
      <w:rFonts w:ascii="宋体" w:hAnsi="Times New Roman"/>
      <w:sz w:val="18"/>
    </w:rPr>
  </w:style>
  <w:style w:type="paragraph" w:customStyle="1" w:styleId="afff4">
    <w:name w:val="列项——"/>
    <w:rsid w:val="009B46F9"/>
    <w:pPr>
      <w:widowControl w:val="0"/>
      <w:numPr>
        <w:numId w:val="28"/>
      </w:numPr>
      <w:jc w:val="both"/>
    </w:pPr>
    <w:rPr>
      <w:rFonts w:ascii="宋体" w:hAnsi="宋体"/>
      <w:sz w:val="21"/>
    </w:rPr>
  </w:style>
  <w:style w:type="paragraph" w:customStyle="1" w:styleId="affffffff2">
    <w:name w:val="列项·"/>
    <w:basedOn w:val="affffb"/>
    <w:rsid w:val="009B46F9"/>
    <w:pPr>
      <w:tabs>
        <w:tab w:val="left" w:pos="840"/>
      </w:tabs>
    </w:pPr>
  </w:style>
  <w:style w:type="paragraph" w:customStyle="1" w:styleId="affffffff3">
    <w:name w:val="目次、索引正文"/>
    <w:rsid w:val="009B46F9"/>
    <w:pPr>
      <w:spacing w:line="320" w:lineRule="exact"/>
      <w:jc w:val="both"/>
    </w:pPr>
    <w:rPr>
      <w:rFonts w:ascii="宋体" w:hAnsi="Times New Roman"/>
      <w:sz w:val="21"/>
    </w:rPr>
  </w:style>
  <w:style w:type="paragraph" w:customStyle="1" w:styleId="210">
    <w:name w:val="目录 21"/>
    <w:basedOn w:val="afff5"/>
    <w:next w:val="afff5"/>
    <w:autoRedefine/>
    <w:semiHidden/>
    <w:rsid w:val="009B46F9"/>
    <w:pPr>
      <w:adjustRightInd/>
      <w:spacing w:line="240" w:lineRule="auto"/>
      <w:jc w:val="left"/>
    </w:pPr>
    <w:rPr>
      <w:bCs/>
      <w:iCs/>
    </w:rPr>
  </w:style>
  <w:style w:type="paragraph" w:customStyle="1" w:styleId="31">
    <w:name w:val="目录 31"/>
    <w:basedOn w:val="afff5"/>
    <w:next w:val="afff5"/>
    <w:autoRedefine/>
    <w:semiHidden/>
    <w:rsid w:val="009B46F9"/>
    <w:pPr>
      <w:spacing w:line="240" w:lineRule="auto"/>
    </w:pPr>
    <w:rPr>
      <w:rFonts w:ascii="宋体" w:hAnsi="宋体"/>
      <w:iCs/>
    </w:rPr>
  </w:style>
  <w:style w:type="paragraph" w:customStyle="1" w:styleId="41">
    <w:name w:val="目录 41"/>
    <w:basedOn w:val="afff5"/>
    <w:next w:val="afff5"/>
    <w:autoRedefine/>
    <w:semiHidden/>
    <w:rsid w:val="009B46F9"/>
    <w:pPr>
      <w:adjustRightInd/>
      <w:spacing w:line="240" w:lineRule="auto"/>
      <w:jc w:val="left"/>
    </w:pPr>
  </w:style>
  <w:style w:type="paragraph" w:customStyle="1" w:styleId="51">
    <w:name w:val="目录 51"/>
    <w:basedOn w:val="afff5"/>
    <w:next w:val="afff5"/>
    <w:autoRedefine/>
    <w:semiHidden/>
    <w:rsid w:val="009B46F9"/>
    <w:pPr>
      <w:spacing w:line="240" w:lineRule="auto"/>
    </w:pPr>
    <w:rPr>
      <w:rFonts w:ascii="宋体" w:hAnsi="宋体"/>
    </w:rPr>
  </w:style>
  <w:style w:type="paragraph" w:customStyle="1" w:styleId="61">
    <w:name w:val="目录 61"/>
    <w:basedOn w:val="afff5"/>
    <w:next w:val="afff5"/>
    <w:autoRedefine/>
    <w:semiHidden/>
    <w:rsid w:val="009B46F9"/>
    <w:pPr>
      <w:adjustRightInd/>
      <w:spacing w:line="240" w:lineRule="auto"/>
      <w:jc w:val="left"/>
    </w:pPr>
  </w:style>
  <w:style w:type="paragraph" w:customStyle="1" w:styleId="71">
    <w:name w:val="目录 71"/>
    <w:basedOn w:val="61"/>
    <w:autoRedefine/>
    <w:semiHidden/>
    <w:rsid w:val="009B46F9"/>
    <w:pPr>
      <w:ind w:left="1260"/>
    </w:pPr>
  </w:style>
  <w:style w:type="paragraph" w:customStyle="1" w:styleId="81">
    <w:name w:val="目录 81"/>
    <w:basedOn w:val="71"/>
    <w:autoRedefine/>
    <w:semiHidden/>
    <w:rsid w:val="009B46F9"/>
    <w:pPr>
      <w:ind w:left="1470"/>
    </w:pPr>
  </w:style>
  <w:style w:type="paragraph" w:customStyle="1" w:styleId="91">
    <w:name w:val="目录 91"/>
    <w:basedOn w:val="81"/>
    <w:autoRedefine/>
    <w:semiHidden/>
    <w:rsid w:val="009B46F9"/>
    <w:pPr>
      <w:ind w:left="1680"/>
    </w:pPr>
  </w:style>
  <w:style w:type="paragraph" w:customStyle="1" w:styleId="affffffff4">
    <w:name w:val="其他标准称谓"/>
    <w:rsid w:val="009B46F9"/>
    <w:pPr>
      <w:spacing w:line="0" w:lineRule="atLeast"/>
      <w:jc w:val="distribute"/>
    </w:pPr>
    <w:rPr>
      <w:rFonts w:ascii="黑体" w:eastAsia="黑体" w:hAnsi="宋体"/>
      <w:sz w:val="52"/>
    </w:rPr>
  </w:style>
  <w:style w:type="paragraph" w:customStyle="1" w:styleId="affffffff5">
    <w:name w:val="其他发布部门"/>
    <w:basedOn w:val="afffffff"/>
    <w:rsid w:val="009B46F9"/>
    <w:pPr>
      <w:framePr w:wrap="around"/>
      <w:spacing w:line="0" w:lineRule="atLeast"/>
    </w:pPr>
    <w:rPr>
      <w:rFonts w:ascii="黑体" w:eastAsia="黑体"/>
      <w:b w:val="0"/>
    </w:rPr>
  </w:style>
  <w:style w:type="paragraph" w:customStyle="1" w:styleId="affb">
    <w:name w:val="前言标题"/>
    <w:next w:val="afff5"/>
    <w:qFormat/>
    <w:rsid w:val="009B46F9"/>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9B46F9"/>
    <w:pPr>
      <w:numPr>
        <w:ilvl w:val="4"/>
        <w:numId w:val="31"/>
      </w:numPr>
      <w:adjustRightInd/>
      <w:spacing w:line="240" w:lineRule="auto"/>
    </w:pPr>
    <w:rPr>
      <w:rFonts w:ascii="宋体" w:hAnsi="宋体"/>
      <w:szCs w:val="24"/>
    </w:rPr>
  </w:style>
  <w:style w:type="paragraph" w:customStyle="1" w:styleId="affffffff6">
    <w:name w:val="实施日期"/>
    <w:basedOn w:val="afffffff0"/>
    <w:rsid w:val="009B46F9"/>
    <w:pPr>
      <w:framePr w:hSpace="0" w:wrap="around" w:xAlign="right"/>
      <w:jc w:val="right"/>
    </w:pPr>
  </w:style>
  <w:style w:type="paragraph" w:customStyle="1" w:styleId="a3">
    <w:name w:val="四级无标题条"/>
    <w:basedOn w:val="afff5"/>
    <w:rsid w:val="009B46F9"/>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9B46F9"/>
    <w:pPr>
      <w:adjustRightInd/>
      <w:spacing w:line="240" w:lineRule="auto"/>
      <w:jc w:val="left"/>
    </w:pPr>
    <w:rPr>
      <w:szCs w:val="24"/>
    </w:rPr>
  </w:style>
  <w:style w:type="paragraph" w:customStyle="1" w:styleId="affffffff8">
    <w:name w:val="文献分类号"/>
    <w:rsid w:val="009B46F9"/>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9B46F9"/>
    <w:pPr>
      <w:jc w:val="both"/>
    </w:pPr>
    <w:rPr>
      <w:rFonts w:ascii="宋体" w:hAnsi="宋体"/>
      <w:sz w:val="21"/>
    </w:rPr>
  </w:style>
  <w:style w:type="paragraph" w:customStyle="1" w:styleId="a4">
    <w:name w:val="五级无标题条"/>
    <w:basedOn w:val="afff5"/>
    <w:rsid w:val="009B46F9"/>
    <w:pPr>
      <w:numPr>
        <w:ilvl w:val="6"/>
        <w:numId w:val="31"/>
      </w:numPr>
      <w:adjustRightInd/>
    </w:pPr>
    <w:rPr>
      <w:szCs w:val="24"/>
    </w:rPr>
  </w:style>
  <w:style w:type="character" w:styleId="affffffffa">
    <w:name w:val="page number"/>
    <w:rsid w:val="009B46F9"/>
    <w:rPr>
      <w:rFonts w:ascii="宋体" w:eastAsia="宋体" w:hAnsi="Times New Roman"/>
      <w:sz w:val="18"/>
    </w:rPr>
  </w:style>
  <w:style w:type="paragraph" w:customStyle="1" w:styleId="a0">
    <w:name w:val="一级无标题条"/>
    <w:basedOn w:val="afff5"/>
    <w:rsid w:val="009B46F9"/>
    <w:pPr>
      <w:numPr>
        <w:ilvl w:val="2"/>
        <w:numId w:val="31"/>
      </w:numPr>
      <w:adjustRightInd/>
      <w:spacing w:before="10" w:after="10" w:line="240" w:lineRule="auto"/>
    </w:pPr>
    <w:rPr>
      <w:rFonts w:ascii="宋体" w:hAnsi="宋体"/>
      <w:szCs w:val="24"/>
    </w:rPr>
  </w:style>
  <w:style w:type="paragraph" w:styleId="affffffffb">
    <w:name w:val="Normal Indent"/>
    <w:basedOn w:val="afff5"/>
    <w:rsid w:val="009B46F9"/>
    <w:pPr>
      <w:ind w:firstLine="420"/>
    </w:pPr>
  </w:style>
  <w:style w:type="paragraph" w:customStyle="1" w:styleId="affffffffc">
    <w:name w:val="注:后续"/>
    <w:rsid w:val="009B46F9"/>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9B46F9"/>
    <w:pPr>
      <w:ind w:leftChars="0" w:left="1406" w:firstLineChars="0" w:hanging="499"/>
    </w:pPr>
  </w:style>
  <w:style w:type="paragraph" w:customStyle="1" w:styleId="affffffffe">
    <w:name w:val="标准文件_一级无标题"/>
    <w:basedOn w:val="affd"/>
    <w:qFormat/>
    <w:rsid w:val="009B46F9"/>
    <w:pPr>
      <w:spacing w:beforeLines="0" w:before="0" w:afterLines="0" w:after="0"/>
      <w:outlineLvl w:val="9"/>
    </w:pPr>
    <w:rPr>
      <w:rFonts w:ascii="宋体" w:eastAsia="宋体"/>
    </w:rPr>
  </w:style>
  <w:style w:type="paragraph" w:customStyle="1" w:styleId="afffffffff">
    <w:name w:val="标准文件_五级无标题"/>
    <w:basedOn w:val="afff1"/>
    <w:qFormat/>
    <w:rsid w:val="009B46F9"/>
    <w:pPr>
      <w:spacing w:beforeLines="0" w:before="0" w:afterLines="0" w:after="0"/>
      <w:outlineLvl w:val="9"/>
    </w:pPr>
    <w:rPr>
      <w:rFonts w:ascii="宋体" w:eastAsia="宋体"/>
    </w:rPr>
  </w:style>
  <w:style w:type="paragraph" w:customStyle="1" w:styleId="afffffffff0">
    <w:name w:val="标准文件_三级无标题"/>
    <w:basedOn w:val="afff"/>
    <w:qFormat/>
    <w:rsid w:val="009B46F9"/>
    <w:pPr>
      <w:spacing w:beforeLines="0" w:before="0" w:afterLines="0" w:after="0"/>
      <w:outlineLvl w:val="9"/>
    </w:pPr>
    <w:rPr>
      <w:rFonts w:ascii="宋体" w:eastAsia="宋体"/>
    </w:rPr>
  </w:style>
  <w:style w:type="paragraph" w:customStyle="1" w:styleId="afffffffff1">
    <w:name w:val="标准文件_二级无标题"/>
    <w:basedOn w:val="affe"/>
    <w:qFormat/>
    <w:rsid w:val="009B46F9"/>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9B46F9"/>
    <w:rPr>
      <w:rFonts w:eastAsia="宋体"/>
    </w:rPr>
  </w:style>
  <w:style w:type="paragraph" w:customStyle="1" w:styleId="afffffffff3">
    <w:name w:val="标准文件_四级无标题"/>
    <w:basedOn w:val="afff0"/>
    <w:qFormat/>
    <w:rsid w:val="009B46F9"/>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9B46F9"/>
    <w:pPr>
      <w:numPr>
        <w:numId w:val="2"/>
      </w:numPr>
      <w:ind w:firstLineChars="0" w:firstLine="0"/>
    </w:pPr>
    <w:rPr>
      <w:rFonts w:ascii="Times New Roman" w:cs="Arial"/>
      <w:szCs w:val="28"/>
    </w:rPr>
  </w:style>
  <w:style w:type="paragraph" w:customStyle="1" w:styleId="ae">
    <w:name w:val="标准文件_小写罗马数字编号列项"/>
    <w:basedOn w:val="affffb"/>
    <w:rsid w:val="009B46F9"/>
    <w:pPr>
      <w:numPr>
        <w:numId w:val="15"/>
      </w:numPr>
      <w:ind w:firstLineChars="0" w:firstLine="0"/>
    </w:pPr>
    <w:rPr>
      <w:rFonts w:cs="Arial"/>
      <w:szCs w:val="28"/>
    </w:rPr>
  </w:style>
  <w:style w:type="paragraph" w:customStyle="1" w:styleId="afffffffff4">
    <w:name w:val="标准文件_附录标题"/>
    <w:basedOn w:val="aff3"/>
    <w:qFormat/>
    <w:rsid w:val="009B46F9"/>
    <w:pPr>
      <w:numPr>
        <w:numId w:val="0"/>
      </w:numPr>
      <w:spacing w:after="280"/>
      <w:outlineLvl w:val="9"/>
    </w:pPr>
  </w:style>
  <w:style w:type="paragraph" w:customStyle="1" w:styleId="afffffffff5">
    <w:name w:val="标准文件_二级项"/>
    <w:rsid w:val="009B46F9"/>
    <w:rPr>
      <w:rFonts w:ascii="宋体" w:hAnsi="Times New Roman"/>
      <w:sz w:val="21"/>
    </w:rPr>
  </w:style>
  <w:style w:type="paragraph" w:customStyle="1" w:styleId="af3">
    <w:name w:val="标准文件_三级项"/>
    <w:basedOn w:val="afff5"/>
    <w:qFormat/>
    <w:rsid w:val="009B46F9"/>
    <w:pPr>
      <w:numPr>
        <w:ilvl w:val="2"/>
        <w:numId w:val="16"/>
      </w:numPr>
      <w:spacing w:line="-300" w:lineRule="auto"/>
    </w:pPr>
    <w:rPr>
      <w:rFonts w:ascii="Times New Roman" w:hAnsi="Times New Roman"/>
    </w:rPr>
  </w:style>
  <w:style w:type="paragraph" w:customStyle="1" w:styleId="affa">
    <w:name w:val="图表脚注说明"/>
    <w:basedOn w:val="afff5"/>
    <w:next w:val="affffb"/>
    <w:rsid w:val="009B46F9"/>
    <w:pPr>
      <w:numPr>
        <w:numId w:val="30"/>
      </w:numPr>
      <w:adjustRightInd/>
      <w:spacing w:line="240" w:lineRule="auto"/>
    </w:pPr>
    <w:rPr>
      <w:rFonts w:ascii="宋体" w:hAnsi="Times New Roman"/>
      <w:sz w:val="18"/>
      <w:szCs w:val="18"/>
    </w:rPr>
  </w:style>
  <w:style w:type="paragraph" w:customStyle="1" w:styleId="af5">
    <w:name w:val="标准文件_字母编号列项（一级）"/>
    <w:qFormat/>
    <w:rsid w:val="009B46F9"/>
    <w:pPr>
      <w:numPr>
        <w:numId w:val="27"/>
      </w:numPr>
      <w:jc w:val="both"/>
    </w:pPr>
    <w:rPr>
      <w:rFonts w:ascii="宋体" w:hAnsi="Times New Roman"/>
      <w:sz w:val="21"/>
    </w:rPr>
  </w:style>
  <w:style w:type="paragraph" w:customStyle="1" w:styleId="afffffffff6">
    <w:name w:val="标准文件_索引字母"/>
    <w:next w:val="affffb"/>
    <w:qFormat/>
    <w:rsid w:val="009B46F9"/>
    <w:pPr>
      <w:jc w:val="center"/>
    </w:pPr>
    <w:rPr>
      <w:rFonts w:ascii="宋体" w:eastAsia="Times New Roman" w:hAnsi="宋体"/>
      <w:b/>
      <w:kern w:val="2"/>
      <w:sz w:val="21"/>
    </w:rPr>
  </w:style>
  <w:style w:type="paragraph" w:customStyle="1" w:styleId="afffffffff7">
    <w:name w:val="标准文件_附录前"/>
    <w:next w:val="affffb"/>
    <w:qFormat/>
    <w:rsid w:val="009B46F9"/>
    <w:pPr>
      <w:spacing w:line="20" w:lineRule="atLeast"/>
      <w:ind w:firstLine="200"/>
    </w:pPr>
    <w:rPr>
      <w:rFonts w:ascii="宋体" w:hAnsi="宋体"/>
      <w:kern w:val="2"/>
      <w:sz w:val="10"/>
    </w:rPr>
  </w:style>
  <w:style w:type="paragraph" w:customStyle="1" w:styleId="afffffffff8">
    <w:name w:val="标准文件_正文标准名称"/>
    <w:qFormat/>
    <w:rsid w:val="009B46F9"/>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9B46F9"/>
    <w:pPr>
      <w:ind w:firstLineChars="0" w:firstLine="0"/>
      <w:jc w:val="center"/>
    </w:pPr>
    <w:rPr>
      <w:sz w:val="18"/>
    </w:rPr>
  </w:style>
  <w:style w:type="paragraph" w:customStyle="1" w:styleId="afff2">
    <w:name w:val="标准文件_注："/>
    <w:next w:val="affffb"/>
    <w:qFormat/>
    <w:rsid w:val="009B46F9"/>
    <w:pPr>
      <w:widowControl w:val="0"/>
      <w:numPr>
        <w:numId w:val="25"/>
      </w:numPr>
      <w:autoSpaceDE w:val="0"/>
      <w:autoSpaceDN w:val="0"/>
      <w:jc w:val="both"/>
    </w:pPr>
    <w:rPr>
      <w:rFonts w:ascii="宋体" w:hAnsi="Times New Roman"/>
      <w:sz w:val="18"/>
      <w:szCs w:val="18"/>
    </w:rPr>
  </w:style>
  <w:style w:type="paragraph" w:customStyle="1" w:styleId="a5">
    <w:name w:val="标准文件_注×："/>
    <w:qFormat/>
    <w:rsid w:val="009B46F9"/>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9B46F9"/>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9B46F9"/>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qFormat/>
    <w:rsid w:val="009B46F9"/>
    <w:rPr>
      <w:rFonts w:ascii="宋体" w:hAnsi="Times New Roman"/>
      <w:noProof/>
      <w:sz w:val="21"/>
    </w:rPr>
  </w:style>
  <w:style w:type="paragraph" w:customStyle="1" w:styleId="afffffffffb">
    <w:name w:val="标准文件_表格续"/>
    <w:basedOn w:val="affffb"/>
    <w:next w:val="affffb"/>
    <w:qFormat/>
    <w:rsid w:val="009B46F9"/>
    <w:pPr>
      <w:jc w:val="center"/>
    </w:pPr>
    <w:rPr>
      <w:rFonts w:ascii="黑体" w:eastAsia="黑体" w:hAnsi="黑体"/>
    </w:rPr>
  </w:style>
  <w:style w:type="paragraph" w:styleId="11">
    <w:name w:val="toc 1"/>
    <w:basedOn w:val="afff5"/>
    <w:next w:val="afff5"/>
    <w:autoRedefine/>
    <w:uiPriority w:val="39"/>
    <w:unhideWhenUsed/>
    <w:rsid w:val="009B46F9"/>
    <w:rPr>
      <w:rFonts w:ascii="宋体"/>
    </w:rPr>
  </w:style>
  <w:style w:type="table" w:styleId="afffffffffc">
    <w:name w:val="Table Grid"/>
    <w:basedOn w:val="afff7"/>
    <w:uiPriority w:val="39"/>
    <w:rsid w:val="009B4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9B46F9"/>
    <w:rPr>
      <w:color w:val="808080"/>
    </w:rPr>
  </w:style>
  <w:style w:type="paragraph" w:customStyle="1" w:styleId="2">
    <w:name w:val="标准文件_二级项2"/>
    <w:basedOn w:val="affffb"/>
    <w:qFormat/>
    <w:rsid w:val="009B46F9"/>
    <w:pPr>
      <w:numPr>
        <w:ilvl w:val="1"/>
        <w:numId w:val="16"/>
      </w:numPr>
      <w:ind w:firstLineChars="0" w:firstLine="0"/>
    </w:pPr>
  </w:style>
  <w:style w:type="paragraph" w:customStyle="1" w:styleId="21">
    <w:name w:val="标准文件_三级项2"/>
    <w:basedOn w:val="affffb"/>
    <w:qFormat/>
    <w:rsid w:val="009B46F9"/>
    <w:pPr>
      <w:numPr>
        <w:numId w:val="10"/>
      </w:numPr>
      <w:spacing w:line="300" w:lineRule="exact"/>
      <w:ind w:firstLineChars="0"/>
    </w:pPr>
    <w:rPr>
      <w:rFonts w:ascii="Times New Roman"/>
    </w:rPr>
  </w:style>
  <w:style w:type="paragraph" w:customStyle="1" w:styleId="20">
    <w:name w:val="标准文件_一级项2"/>
    <w:basedOn w:val="affffb"/>
    <w:qFormat/>
    <w:rsid w:val="009B46F9"/>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9B46F9"/>
    <w:pPr>
      <w:ind w:firstLine="420"/>
    </w:pPr>
    <w:rPr>
      <w:rFonts w:ascii="黑体" w:eastAsia="黑体"/>
    </w:rPr>
  </w:style>
  <w:style w:type="character" w:customStyle="1" w:styleId="affffffffff">
    <w:name w:val="标准文件_来源"/>
    <w:basedOn w:val="afff6"/>
    <w:uiPriority w:val="1"/>
    <w:qFormat/>
    <w:rsid w:val="009B46F9"/>
    <w:rPr>
      <w:rFonts w:eastAsia="宋体"/>
      <w:sz w:val="21"/>
    </w:rPr>
  </w:style>
  <w:style w:type="paragraph" w:customStyle="1" w:styleId="affffffffff0">
    <w:name w:val="标准文件_图表说明"/>
    <w:qFormat/>
    <w:rsid w:val="009B46F9"/>
    <w:pPr>
      <w:spacing w:line="276" w:lineRule="auto"/>
      <w:ind w:firstLine="420"/>
    </w:pPr>
    <w:rPr>
      <w:rFonts w:ascii="宋体" w:hAnsi="宋体"/>
      <w:kern w:val="2"/>
      <w:sz w:val="18"/>
    </w:rPr>
  </w:style>
  <w:style w:type="paragraph" w:customStyle="1" w:styleId="affffffffff1">
    <w:name w:val="其他发布日期"/>
    <w:basedOn w:val="afffffff0"/>
    <w:rsid w:val="009B46F9"/>
    <w:pPr>
      <w:framePr w:w="3997" w:h="471" w:hRule="exact" w:hSpace="0" w:vSpace="181" w:wrap="around" w:vAnchor="page" w:hAnchor="page" w:x="1419" w:y="14097"/>
    </w:pPr>
  </w:style>
  <w:style w:type="paragraph" w:customStyle="1" w:styleId="affffffffff2">
    <w:name w:val="其他实施日期"/>
    <w:basedOn w:val="affffffff6"/>
    <w:rsid w:val="009B46F9"/>
    <w:pPr>
      <w:framePr w:w="3997" w:h="471" w:hRule="exact" w:vSpace="181" w:wrap="around" w:vAnchor="page" w:hAnchor="page" w:x="7089" w:y="14097"/>
    </w:pPr>
  </w:style>
  <w:style w:type="paragraph" w:customStyle="1" w:styleId="affffffffff3">
    <w:name w:val="标准文件_文件编号"/>
    <w:basedOn w:val="affffb"/>
    <w:qFormat/>
    <w:rsid w:val="009B46F9"/>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9B46F9"/>
    <w:pPr>
      <w:framePr w:wrap="auto"/>
      <w:spacing w:before="57"/>
    </w:pPr>
    <w:rPr>
      <w:sz w:val="21"/>
    </w:rPr>
  </w:style>
  <w:style w:type="paragraph" w:customStyle="1" w:styleId="affffffffff5">
    <w:name w:val="标准文件_文件名称"/>
    <w:basedOn w:val="affffb"/>
    <w:next w:val="affffb"/>
    <w:qFormat/>
    <w:rsid w:val="009B46F9"/>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9B46F9"/>
    <w:pPr>
      <w:spacing w:line="300" w:lineRule="exact"/>
      <w:ind w:left="420"/>
    </w:pPr>
    <w:rPr>
      <w:rFonts w:ascii="宋体"/>
    </w:rPr>
  </w:style>
  <w:style w:type="paragraph" w:styleId="42">
    <w:name w:val="toc 4"/>
    <w:basedOn w:val="afff5"/>
    <w:next w:val="afff5"/>
    <w:autoRedefine/>
    <w:uiPriority w:val="39"/>
    <w:unhideWhenUsed/>
    <w:rsid w:val="009B46F9"/>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9B46F9"/>
    <w:pPr>
      <w:ind w:left="839"/>
    </w:pPr>
    <w:rPr>
      <w:rFonts w:ascii="宋体"/>
    </w:rPr>
  </w:style>
  <w:style w:type="paragraph" w:styleId="62">
    <w:name w:val="toc 6"/>
    <w:basedOn w:val="afff5"/>
    <w:next w:val="afff5"/>
    <w:autoRedefine/>
    <w:uiPriority w:val="39"/>
    <w:unhideWhenUsed/>
    <w:rsid w:val="009B46F9"/>
    <w:pPr>
      <w:spacing w:line="300" w:lineRule="exact"/>
      <w:ind w:left="1049"/>
    </w:pPr>
    <w:rPr>
      <w:rFonts w:ascii="宋体"/>
    </w:rPr>
  </w:style>
  <w:style w:type="paragraph" w:styleId="72">
    <w:name w:val="toc 7"/>
    <w:basedOn w:val="afff5"/>
    <w:next w:val="afff5"/>
    <w:autoRedefine/>
    <w:uiPriority w:val="39"/>
    <w:unhideWhenUsed/>
    <w:rsid w:val="009B46F9"/>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9B46F9"/>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9B46F9"/>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9B46F9"/>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9B46F9"/>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9B46F9"/>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9B46F9"/>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9B46F9"/>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9B46F9"/>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9B46F9"/>
    <w:pPr>
      <w:ind w:left="811" w:firstLineChars="0" w:firstLine="0"/>
    </w:pPr>
    <w:rPr>
      <w:sz w:val="18"/>
    </w:rPr>
  </w:style>
  <w:style w:type="paragraph" w:customStyle="1" w:styleId="X">
    <w:name w:val="标准文件_注X后"/>
    <w:basedOn w:val="affffb"/>
    <w:qFormat/>
    <w:rsid w:val="009B46F9"/>
    <w:pPr>
      <w:ind w:left="811" w:firstLineChars="0" w:firstLine="0"/>
    </w:pPr>
    <w:rPr>
      <w:sz w:val="18"/>
    </w:rPr>
  </w:style>
  <w:style w:type="paragraph" w:customStyle="1" w:styleId="affffffffff7">
    <w:name w:val="标准文件_示例后"/>
    <w:basedOn w:val="affffb"/>
    <w:qFormat/>
    <w:rsid w:val="009B46F9"/>
    <w:pPr>
      <w:ind w:left="964" w:firstLineChars="0" w:firstLine="0"/>
    </w:pPr>
    <w:rPr>
      <w:sz w:val="18"/>
    </w:rPr>
  </w:style>
  <w:style w:type="paragraph" w:customStyle="1" w:styleId="X0">
    <w:name w:val="标准文件_示例X后"/>
    <w:basedOn w:val="affffb"/>
    <w:link w:val="X1"/>
    <w:qFormat/>
    <w:rsid w:val="009B46F9"/>
    <w:pPr>
      <w:ind w:left="1049" w:firstLineChars="0" w:firstLine="0"/>
    </w:pPr>
    <w:rPr>
      <w:sz w:val="18"/>
    </w:rPr>
  </w:style>
  <w:style w:type="character" w:customStyle="1" w:styleId="X1">
    <w:name w:val="标准文件_示例X后 字符"/>
    <w:basedOn w:val="Char"/>
    <w:link w:val="X0"/>
    <w:rsid w:val="009B46F9"/>
    <w:rPr>
      <w:rFonts w:ascii="宋体" w:hAnsi="Times New Roman"/>
      <w:noProof/>
      <w:sz w:val="18"/>
    </w:rPr>
  </w:style>
  <w:style w:type="paragraph" w:customStyle="1" w:styleId="affffffffff8">
    <w:name w:val="标准文件_索引项"/>
    <w:basedOn w:val="affffb"/>
    <w:next w:val="affffb"/>
    <w:qFormat/>
    <w:rsid w:val="009B46F9"/>
    <w:pPr>
      <w:tabs>
        <w:tab w:val="right" w:leader="dot" w:pos="9356"/>
      </w:tabs>
      <w:ind w:left="210" w:firstLineChars="0" w:hanging="210"/>
      <w:jc w:val="left"/>
    </w:pPr>
  </w:style>
  <w:style w:type="paragraph" w:customStyle="1" w:styleId="affffffffff9">
    <w:name w:val="标准文件_附录一级无标题"/>
    <w:basedOn w:val="aff4"/>
    <w:qFormat/>
    <w:rsid w:val="009B46F9"/>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9B46F9"/>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9B46F9"/>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9B46F9"/>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9B46F9"/>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9B46F9"/>
    <w:pPr>
      <w:ind w:firstLine="420"/>
    </w:pPr>
    <w:rPr>
      <w:sz w:val="18"/>
    </w:rPr>
  </w:style>
  <w:style w:type="paragraph" w:customStyle="1" w:styleId="affffffffffe">
    <w:name w:val="标准文件_引言一级无标题"/>
    <w:basedOn w:val="a7"/>
    <w:next w:val="affffb"/>
    <w:qFormat/>
    <w:rsid w:val="009B46F9"/>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9B46F9"/>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9B46F9"/>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9B46F9"/>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9B46F9"/>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CD561D"/>
    <w:rPr>
      <w:rFonts w:hAnsi="黑体"/>
    </w:rPr>
  </w:style>
  <w:style w:type="paragraph" w:customStyle="1" w:styleId="afffffffffff4">
    <w:name w:val="标准文件_脚注内容"/>
    <w:basedOn w:val="affffb"/>
    <w:qFormat/>
    <w:rsid w:val="009B46F9"/>
    <w:pPr>
      <w:ind w:leftChars="200" w:left="400" w:hangingChars="200" w:hanging="200"/>
    </w:pPr>
    <w:rPr>
      <w:sz w:val="15"/>
    </w:rPr>
  </w:style>
  <w:style w:type="paragraph" w:customStyle="1" w:styleId="afffffffffff5">
    <w:name w:val="标准文件_术语条一"/>
    <w:basedOn w:val="affffffffe"/>
    <w:next w:val="affffb"/>
    <w:qFormat/>
    <w:rsid w:val="009B46F9"/>
  </w:style>
  <w:style w:type="paragraph" w:customStyle="1" w:styleId="afffffffffff6">
    <w:name w:val="标准文件_术语条二"/>
    <w:basedOn w:val="afffffffff1"/>
    <w:next w:val="affffb"/>
    <w:qFormat/>
    <w:rsid w:val="009B46F9"/>
  </w:style>
  <w:style w:type="paragraph" w:customStyle="1" w:styleId="afffffffffff7">
    <w:name w:val="标准文件_术语条三"/>
    <w:basedOn w:val="afffffffff0"/>
    <w:next w:val="affffb"/>
    <w:qFormat/>
    <w:rsid w:val="009B46F9"/>
  </w:style>
  <w:style w:type="paragraph" w:customStyle="1" w:styleId="afffffffffff8">
    <w:name w:val="标准文件_术语条四"/>
    <w:basedOn w:val="afffffffff3"/>
    <w:next w:val="affffb"/>
    <w:qFormat/>
    <w:rsid w:val="009B46F9"/>
  </w:style>
  <w:style w:type="paragraph" w:customStyle="1" w:styleId="afffffffffff9">
    <w:name w:val="标准文件_术语条五"/>
    <w:basedOn w:val="afffffffff"/>
    <w:next w:val="affffb"/>
    <w:qFormat/>
    <w:rsid w:val="009B46F9"/>
  </w:style>
  <w:style w:type="paragraph" w:customStyle="1" w:styleId="Default">
    <w:name w:val="Default"/>
    <w:rsid w:val="009B46F9"/>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character" w:customStyle="1" w:styleId="Char0">
    <w:name w:val="段 Char"/>
    <w:link w:val="afffffffffffb"/>
    <w:qFormat/>
    <w:rsid w:val="00CA5F4B"/>
    <w:rPr>
      <w:rFonts w:ascii="宋体"/>
      <w:sz w:val="21"/>
    </w:rPr>
  </w:style>
  <w:style w:type="paragraph" w:customStyle="1" w:styleId="afffffffffffb">
    <w:name w:val="段"/>
    <w:link w:val="Char0"/>
    <w:rsid w:val="00CA5F4B"/>
    <w:pPr>
      <w:tabs>
        <w:tab w:val="center" w:pos="4201"/>
        <w:tab w:val="right" w:leader="dot" w:pos="9298"/>
      </w:tabs>
      <w:autoSpaceDE w:val="0"/>
      <w:autoSpaceDN w:val="0"/>
      <w:spacing w:after="160" w:line="278" w:lineRule="auto"/>
      <w:ind w:firstLineChars="200" w:firstLine="420"/>
      <w:jc w:val="both"/>
    </w:pPr>
    <w:rPr>
      <w:rFonts w:ascii="宋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pn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jpeg"/><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30E59BB27B0491E94709CF634143E29"/>
        <w:category>
          <w:name w:val="常规"/>
          <w:gallery w:val="placeholder"/>
        </w:category>
        <w:types>
          <w:type w:val="bbPlcHdr"/>
        </w:types>
        <w:behaviors>
          <w:behavior w:val="content"/>
        </w:behaviors>
        <w:guid w:val="{83DA6F22-5434-4595-BF69-1C7CEE4C6BAF}"/>
      </w:docPartPr>
      <w:docPartBody>
        <w:p w:rsidR="00771C25" w:rsidRDefault="009A671F">
          <w:pPr>
            <w:pStyle w:val="830E59BB27B0491E94709CF634143E29"/>
          </w:pPr>
          <w:r w:rsidRPr="00751A05">
            <w:rPr>
              <w:rStyle w:val="a3"/>
              <w:rFonts w:hint="eastAsia"/>
            </w:rPr>
            <w:t>单击或点击此处输入文字。</w:t>
          </w:r>
        </w:p>
      </w:docPartBody>
    </w:docPart>
    <w:docPart>
      <w:docPartPr>
        <w:name w:val="D849B8FFE5594A078EB6472D4320B106"/>
        <w:category>
          <w:name w:val="常规"/>
          <w:gallery w:val="placeholder"/>
        </w:category>
        <w:types>
          <w:type w:val="bbPlcHdr"/>
        </w:types>
        <w:behaviors>
          <w:behavior w:val="content"/>
        </w:behaviors>
        <w:guid w:val="{B411E41B-C23F-4C26-9341-5A26D3B59D46}"/>
      </w:docPartPr>
      <w:docPartBody>
        <w:p w:rsidR="00771C25" w:rsidRDefault="009A671F">
          <w:pPr>
            <w:pStyle w:val="D849B8FFE5594A078EB6472D4320B106"/>
          </w:pPr>
          <w:r w:rsidRPr="00FB6243">
            <w:rPr>
              <w:rStyle w:val="a3"/>
              <w:rFonts w:hint="eastAsia"/>
            </w:rPr>
            <w:t>选择一项。</w:t>
          </w:r>
        </w:p>
      </w:docPartBody>
    </w:docPart>
    <w:docPart>
      <w:docPartPr>
        <w:name w:val="7F9F92FDDCB54BF48EB081313FB02956"/>
        <w:category>
          <w:name w:val="常规"/>
          <w:gallery w:val="placeholder"/>
        </w:category>
        <w:types>
          <w:type w:val="bbPlcHdr"/>
        </w:types>
        <w:behaviors>
          <w:behavior w:val="content"/>
        </w:behaviors>
        <w:guid w:val="{E4B2F85D-A7E3-4160-A91D-194AA7523DEF}"/>
      </w:docPartPr>
      <w:docPartBody>
        <w:p w:rsidR="00771C25" w:rsidRDefault="009A671F">
          <w:pPr>
            <w:pStyle w:val="7F9F92FDDCB54BF48EB081313FB02956"/>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7EF"/>
    <w:rsid w:val="002C7838"/>
    <w:rsid w:val="003C2B8E"/>
    <w:rsid w:val="004C2F6D"/>
    <w:rsid w:val="00572FC5"/>
    <w:rsid w:val="006B7247"/>
    <w:rsid w:val="00771C25"/>
    <w:rsid w:val="009A671F"/>
    <w:rsid w:val="00F1489E"/>
    <w:rsid w:val="00F25539"/>
    <w:rsid w:val="00FC7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830E59BB27B0491E94709CF634143E29">
    <w:name w:val="830E59BB27B0491E94709CF634143E29"/>
    <w:pPr>
      <w:widowControl w:val="0"/>
    </w:pPr>
  </w:style>
  <w:style w:type="paragraph" w:customStyle="1" w:styleId="D849B8FFE5594A078EB6472D4320B106">
    <w:name w:val="D849B8FFE5594A078EB6472D4320B106"/>
    <w:pPr>
      <w:widowControl w:val="0"/>
    </w:pPr>
  </w:style>
  <w:style w:type="paragraph" w:customStyle="1" w:styleId="7F9F92FDDCB54BF48EB081313FB02956">
    <w:name w:val="7F9F92FDDCB54BF48EB081313FB02956"/>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A2B75-92EB-495F-B249-7A7BAB64C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地方标准.dotx</Template>
  <TotalTime>117</TotalTime>
  <Pages>18</Pages>
  <Words>1674</Words>
  <Characters>9542</Characters>
  <Application>Microsoft Office Word</Application>
  <DocSecurity>0</DocSecurity>
  <Lines>79</Lines>
  <Paragraphs>22</Paragraphs>
  <ScaleCrop>false</ScaleCrop>
  <Company>PCMI</Company>
  <LinksUpToDate>false</LinksUpToDate>
  <CharactersWithSpaces>11194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subject/>
  <dc:creator>Jun Liang</dc:creator>
  <cp:keywords/>
  <dc:description>&lt;config cover="true" show_menu="true" version="1.0.0" doctype="SDKXY"&gt;_x000d_
&lt;/config&gt;</dc:description>
  <cp:lastModifiedBy>梁峻</cp:lastModifiedBy>
  <cp:revision>23</cp:revision>
  <cp:lastPrinted>2020-08-30T10:00:00Z</cp:lastPrinted>
  <dcterms:created xsi:type="dcterms:W3CDTF">2025-12-29T06:15:00Z</dcterms:created>
  <dcterms:modified xsi:type="dcterms:W3CDTF">2026-01-07T08:27:00Z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